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04B66ABA"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5637A5">
        <w:t>9</w:t>
      </w:r>
      <w:r w:rsidR="00A14D3F">
        <w:t>-e</w:t>
      </w:r>
      <w:r>
        <w:tab/>
      </w:r>
      <w:r w:rsidR="00D46431">
        <w:tab/>
      </w:r>
      <w:r w:rsidR="00503094" w:rsidRPr="00503094">
        <w:t>R4-2110154</w:t>
      </w:r>
    </w:p>
    <w:p w14:paraId="50DC9730" w14:textId="5F8952A3" w:rsidR="00D309CC" w:rsidRPr="00FD166F" w:rsidRDefault="00A14D3F" w:rsidP="00D46431">
      <w:pPr>
        <w:pStyle w:val="CH"/>
        <w:tabs>
          <w:tab w:val="clear" w:pos="7920"/>
        </w:tabs>
        <w:rPr>
          <w:b w:val="0"/>
        </w:rPr>
      </w:pPr>
      <w:r>
        <w:t>Online</w:t>
      </w:r>
      <w:r w:rsidR="00EC4847" w:rsidRPr="00EC4847">
        <w:t xml:space="preserve">, </w:t>
      </w:r>
      <w:r w:rsidR="005637A5">
        <w:t>May</w:t>
      </w:r>
      <w:r w:rsidRPr="00A14D3F">
        <w:t xml:space="preserve"> </w:t>
      </w:r>
      <w:r w:rsidR="00AC1EBB">
        <w:t>1</w:t>
      </w:r>
      <w:r w:rsidR="005637A5">
        <w:t>9</w:t>
      </w:r>
      <w:r w:rsidR="00121103">
        <w:rPr>
          <w:vertAlign w:val="superscript"/>
        </w:rPr>
        <w:t>th</w:t>
      </w:r>
      <w:r w:rsidRPr="00A14D3F">
        <w:t xml:space="preserve"> – </w:t>
      </w:r>
      <w:r w:rsidR="00AC1EBB">
        <w:t>2</w:t>
      </w:r>
      <w:r w:rsidR="005637A5">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46A70E50" w:rsidR="00D309CC" w:rsidRPr="0008103A" w:rsidRDefault="00D309CC" w:rsidP="00D309CC">
      <w:pPr>
        <w:pStyle w:val="CH"/>
        <w:rPr>
          <w:b w:val="0"/>
        </w:rPr>
      </w:pPr>
      <w:r w:rsidRPr="0008103A">
        <w:t>Agenda item:</w:t>
      </w:r>
      <w:r>
        <w:tab/>
      </w:r>
      <w:r w:rsidR="00C46ABA">
        <w:t>4.1.2.3</w:t>
      </w:r>
    </w:p>
    <w:p w14:paraId="4DBE005A" w14:textId="1173AC5D" w:rsidR="00D309CC" w:rsidRPr="0008103A" w:rsidRDefault="00D309CC" w:rsidP="00D309CC">
      <w:pPr>
        <w:pStyle w:val="CH"/>
        <w:rPr>
          <w:b w:val="0"/>
        </w:rPr>
      </w:pPr>
      <w:r>
        <w:t>Source:</w:t>
      </w:r>
      <w:r>
        <w:tab/>
        <w:t>Apple</w:t>
      </w:r>
    </w:p>
    <w:p w14:paraId="0D2061A1" w14:textId="22DA1421" w:rsidR="00D309CC" w:rsidRDefault="00D309CC" w:rsidP="00D309CC">
      <w:pPr>
        <w:pStyle w:val="CH"/>
      </w:pPr>
      <w:r w:rsidRPr="0008103A">
        <w:t>Title:</w:t>
      </w:r>
      <w:r w:rsidRPr="0008103A">
        <w:tab/>
      </w:r>
      <w:r w:rsidR="00C46ABA" w:rsidRPr="00C46ABA">
        <w:t>Clarifications on intra-band EN-DC combinations</w:t>
      </w:r>
      <w:r w:rsidR="00AC0150">
        <w:t xml:space="preserve"> </w:t>
      </w:r>
    </w:p>
    <w:p w14:paraId="052B1E0C" w14:textId="26E600AB" w:rsidR="00104BC6" w:rsidRDefault="00104BC6" w:rsidP="00D309CC">
      <w:pPr>
        <w:pStyle w:val="CH"/>
      </w:pPr>
      <w:r>
        <w:t>WI/SI:</w:t>
      </w:r>
      <w:r>
        <w:tab/>
      </w:r>
      <w:r w:rsidR="00C46ABA" w:rsidRPr="00C46ABA">
        <w:rPr>
          <w:lang w:val="en-US"/>
        </w:rPr>
        <w:t>NR_newRAT-Core</w:t>
      </w:r>
    </w:p>
    <w:p w14:paraId="6C6D1281" w14:textId="7FAE0DC1" w:rsidR="00104BC6" w:rsidRDefault="00104BC6" w:rsidP="00D309CC">
      <w:pPr>
        <w:pStyle w:val="CH"/>
        <w:rPr>
          <w:b w:val="0"/>
        </w:rPr>
      </w:pPr>
      <w:r>
        <w:t>Release:</w:t>
      </w:r>
      <w:r>
        <w:tab/>
      </w:r>
      <w:r w:rsidRPr="00261B7C">
        <w:t>Rel-</w:t>
      </w:r>
      <w:r w:rsidR="00261B7C">
        <w:t>1</w:t>
      </w:r>
      <w:r w:rsidR="00C46ABA">
        <w:t>5</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2A502F3A" w:rsidR="008E7986" w:rsidRPr="00C46ABA" w:rsidRDefault="00C46ABA" w:rsidP="00A75621">
      <w:pPr>
        <w:jc w:val="both"/>
        <w:rPr>
          <w:rFonts w:ascii="Arial" w:hAnsi="Arial" w:cs="Arial"/>
          <w:lang w:val="en-US"/>
        </w:rPr>
      </w:pPr>
      <w:r w:rsidRPr="00C46ABA">
        <w:rPr>
          <w:rFonts w:ascii="Arial" w:hAnsi="Arial" w:cs="Arial"/>
          <w:lang w:val="en-US"/>
        </w:rPr>
        <w:t xml:space="preserve">Intra-band EN-DC </w:t>
      </w:r>
      <w:r>
        <w:rPr>
          <w:rFonts w:ascii="Arial" w:hAnsi="Arial" w:cs="Arial"/>
          <w:lang w:val="en-US"/>
        </w:rPr>
        <w:t xml:space="preserve">combinations </w:t>
      </w:r>
      <w:r w:rsidR="00087D0D">
        <w:rPr>
          <w:rFonts w:ascii="Arial" w:hAnsi="Arial" w:cs="Arial"/>
          <w:lang w:val="en-US"/>
        </w:rPr>
        <w:t xml:space="preserve">as </w:t>
      </w:r>
      <w:r w:rsidRPr="00C46ABA">
        <w:rPr>
          <w:rFonts w:ascii="Arial" w:hAnsi="Arial" w:cs="Arial"/>
          <w:lang w:val="en-US"/>
        </w:rPr>
        <w:t xml:space="preserve">contiguous </w:t>
      </w:r>
      <w:r w:rsidR="00087D0D">
        <w:rPr>
          <w:rFonts w:ascii="Arial" w:hAnsi="Arial" w:cs="Arial"/>
          <w:lang w:val="en-US"/>
        </w:rPr>
        <w:t>or</w:t>
      </w:r>
      <w:r w:rsidRPr="00C46ABA">
        <w:rPr>
          <w:rFonts w:ascii="Arial" w:hAnsi="Arial" w:cs="Arial"/>
          <w:lang w:val="en-US"/>
        </w:rPr>
        <w:t xml:space="preserve"> non-contiguous</w:t>
      </w:r>
      <w:r w:rsidR="00087D0D" w:rsidRPr="00C46ABA">
        <w:rPr>
          <w:rFonts w:ascii="Arial" w:hAnsi="Arial" w:cs="Arial"/>
          <w:lang w:val="en-US"/>
        </w:rPr>
        <w:t xml:space="preserve"> </w:t>
      </w:r>
      <w:r w:rsidRPr="00C46ABA">
        <w:rPr>
          <w:rFonts w:ascii="Arial" w:hAnsi="Arial" w:cs="Arial"/>
          <w:lang w:val="en-US"/>
        </w:rPr>
        <w:t>can be clearly differentiated when there is only one LTE CC and one NR CC in the combination, such as DC_(n)48AA (contiguous) and DC_48A_n48A (non-contiguous)</w:t>
      </w:r>
      <w:r w:rsidR="00087D0D">
        <w:rPr>
          <w:rFonts w:ascii="Arial" w:hAnsi="Arial" w:cs="Arial"/>
          <w:lang w:val="en-US"/>
        </w:rPr>
        <w:t xml:space="preserve"> where DL and UL are of the same configuration.</w:t>
      </w:r>
      <w:r>
        <w:rPr>
          <w:rFonts w:ascii="Arial" w:hAnsi="Arial" w:cs="Arial"/>
          <w:lang w:val="en-US"/>
        </w:rPr>
        <w:t xml:space="preserve"> </w:t>
      </w:r>
      <w:r w:rsidRPr="00C46ABA">
        <w:rPr>
          <w:rFonts w:ascii="Arial" w:hAnsi="Arial" w:cs="Arial"/>
          <w:lang w:val="en-US"/>
        </w:rPr>
        <w:t>However, when there are more than one CCs in LTE or/and NR cell groups, for certain combinations, RAN4’s definition of contiguous or non-contiguous in conjunction with RAN2 UE capability signaling design became ambiguous, such as DC_(n)48CA for DL with DC_48A_n48A as UL which is currently defined as contiguous EN-DC in 38.101-3</w:t>
      </w:r>
      <w:r>
        <w:rPr>
          <w:rFonts w:ascii="Arial" w:hAnsi="Arial" w:cs="Arial"/>
          <w:lang w:val="en-US"/>
        </w:rPr>
        <w:t xml:space="preserve"> [1]</w:t>
      </w:r>
      <w:r w:rsidRPr="00C46ABA">
        <w:rPr>
          <w:rFonts w:ascii="Arial" w:hAnsi="Arial" w:cs="Arial"/>
          <w:lang w:val="en-US"/>
        </w:rPr>
        <w:t>.</w:t>
      </w:r>
      <w:r w:rsidR="005023B7">
        <w:rPr>
          <w:rFonts w:ascii="Arial" w:hAnsi="Arial" w:cs="Arial"/>
        </w:rPr>
        <w:t xml:space="preserve"> </w:t>
      </w:r>
      <w:r w:rsidR="00BD7667">
        <w:rPr>
          <w:rFonts w:ascii="Arial" w:hAnsi="Arial" w:cs="Arial"/>
        </w:rPr>
        <w:t xml:space="preserve">The issue associated with this ambiguity is that </w:t>
      </w:r>
      <w:r w:rsidR="00A81A70">
        <w:rPr>
          <w:rFonts w:ascii="Arial" w:hAnsi="Arial" w:cs="Arial"/>
        </w:rPr>
        <w:t xml:space="preserve">if UE signalled to the network that it only supports intra-band contiguous EN-DC for B48 and n48 through </w:t>
      </w:r>
      <w:r w:rsidR="00A81A70" w:rsidRPr="00A81A70">
        <w:rPr>
          <w:rFonts w:ascii="Arial" w:hAnsi="Arial" w:cs="Arial"/>
          <w:i/>
          <w:iCs/>
        </w:rPr>
        <w:t>intraBandENDC-support</w:t>
      </w:r>
      <w:r w:rsidR="00A81A70">
        <w:rPr>
          <w:rFonts w:ascii="Arial" w:hAnsi="Arial" w:cs="Arial"/>
          <w:i/>
          <w:iCs/>
        </w:rPr>
        <w:t xml:space="preserve"> </w:t>
      </w:r>
      <w:r w:rsidR="00A81A70">
        <w:rPr>
          <w:rFonts w:ascii="Arial" w:hAnsi="Arial" w:cs="Arial"/>
        </w:rPr>
        <w:t xml:space="preserve">which </w:t>
      </w:r>
      <w:r w:rsidR="004F1C3B">
        <w:rPr>
          <w:rFonts w:ascii="Arial" w:hAnsi="Arial" w:cs="Arial"/>
        </w:rPr>
        <w:t xml:space="preserve">is </w:t>
      </w:r>
      <w:r w:rsidR="00A81A70" w:rsidRPr="00A81A70">
        <w:rPr>
          <w:rFonts w:ascii="Arial" w:hAnsi="Arial" w:cs="Arial"/>
        </w:rPr>
        <w:t>only defined for the combination, but not for DL and UL separately</w:t>
      </w:r>
      <w:r w:rsidR="00A81A70">
        <w:rPr>
          <w:rFonts w:ascii="Arial" w:hAnsi="Arial" w:cs="Arial"/>
        </w:rPr>
        <w:t xml:space="preserve">, the network may schedule </w:t>
      </w:r>
      <w:r w:rsidRPr="00C46ABA">
        <w:rPr>
          <w:rFonts w:ascii="Arial" w:hAnsi="Arial" w:cs="Arial"/>
          <w:lang w:val="en-US"/>
        </w:rPr>
        <w:t>DC_(n)48CA for DL with DC_48A_n48A as UL</w:t>
      </w:r>
      <w:r w:rsidR="00A81A70">
        <w:rPr>
          <w:rFonts w:ascii="Arial" w:hAnsi="Arial" w:cs="Arial"/>
          <w:lang w:val="en-US"/>
        </w:rPr>
        <w:t xml:space="preserve"> for the UE as this combination is considered as intra-band contiguous EN-DC</w:t>
      </w:r>
      <w:r w:rsidR="004F1C3B">
        <w:rPr>
          <w:rFonts w:ascii="Arial" w:hAnsi="Arial" w:cs="Arial"/>
          <w:lang w:val="en-US"/>
        </w:rPr>
        <w:t xml:space="preserve"> in current RAN4 specifications [1]. However, the UE may fail to support this combination as its UL did not have the capability to support non-contiguous configuration. In this contribution, we share our views on how this ambiguity issue can be resolved without the need to alter RAN2 signaling design to allow separate signaling for DL and UL intra-band</w:t>
      </w:r>
      <w:r w:rsidR="00677903">
        <w:rPr>
          <w:rFonts w:ascii="Arial" w:hAnsi="Arial" w:cs="Arial"/>
          <w:lang w:val="en-US"/>
        </w:rPr>
        <w:t xml:space="preserve"> </w:t>
      </w:r>
      <w:r w:rsidR="004F1C3B">
        <w:rPr>
          <w:rFonts w:ascii="Arial" w:hAnsi="Arial" w:cs="Arial"/>
          <w:lang w:val="en-US"/>
        </w:rPr>
        <w:t>configurations.</w:t>
      </w:r>
      <w:r w:rsidR="00A81A70">
        <w:rPr>
          <w:rFonts w:ascii="Arial" w:hAnsi="Arial" w:cs="Arial"/>
          <w:lang w:val="en-US"/>
        </w:rPr>
        <w:t xml:space="preserve"> </w:t>
      </w:r>
      <w:r w:rsidR="00A81A70">
        <w:rPr>
          <w:rFonts w:ascii="Arial" w:hAnsi="Arial" w:cs="Arial"/>
        </w:rPr>
        <w:t xml:space="preserve">    </w:t>
      </w:r>
      <w:r w:rsidR="00087D0D">
        <w:rPr>
          <w:rFonts w:ascii="Arial" w:hAnsi="Arial" w:cs="Arial"/>
        </w:rPr>
        <w:t xml:space="preserve"> </w:t>
      </w:r>
      <w:r w:rsidR="00AC136C">
        <w:rPr>
          <w:rFonts w:ascii="Arial" w:hAnsi="Arial" w:cs="Arial"/>
        </w:rPr>
        <w:t xml:space="preserve">  </w:t>
      </w:r>
      <w:r w:rsidR="007E69E1">
        <w:rPr>
          <w:rFonts w:ascii="Arial" w:hAnsi="Arial" w:cs="Arial"/>
        </w:rPr>
        <w:t xml:space="preserve"> </w:t>
      </w:r>
      <w:r w:rsidR="00611256">
        <w:rPr>
          <w:rFonts w:ascii="Arial" w:hAnsi="Arial" w:cs="Arial"/>
        </w:rPr>
        <w:t xml:space="preserve"> </w:t>
      </w:r>
      <w:r w:rsidR="009E7903">
        <w:rPr>
          <w:rFonts w:ascii="Arial" w:hAnsi="Arial" w:cs="Arial"/>
        </w:rPr>
        <w:t xml:space="preserve"> </w:t>
      </w:r>
      <w:r w:rsidR="00AD171B">
        <w:rPr>
          <w:rFonts w:ascii="Arial" w:hAnsi="Arial" w:cs="Arial"/>
        </w:rPr>
        <w:t xml:space="preserve">   </w:t>
      </w:r>
      <w:r w:rsidR="00906B51">
        <w:rPr>
          <w:rFonts w:ascii="Arial" w:hAnsi="Arial" w:cs="Arial"/>
        </w:rPr>
        <w:t xml:space="preserve"> </w:t>
      </w:r>
      <w:r w:rsidR="004E4369">
        <w:rPr>
          <w:rFonts w:ascii="Arial" w:hAnsi="Arial" w:cs="Arial"/>
        </w:rPr>
        <w:t xml:space="preserve">  </w:t>
      </w:r>
      <w:r w:rsidR="00314533">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2934D21D" w14:textId="32D28905" w:rsidR="0055182E" w:rsidRDefault="0055182E" w:rsidP="0055182E">
      <w:pPr>
        <w:spacing w:after="0"/>
        <w:jc w:val="both"/>
        <w:rPr>
          <w:rFonts w:ascii="Arial" w:hAnsi="Arial" w:cs="Arial"/>
        </w:rPr>
      </w:pPr>
    </w:p>
    <w:p w14:paraId="6F6E8321" w14:textId="0E376A5F" w:rsidR="0055182E" w:rsidRDefault="0055182E" w:rsidP="0055182E">
      <w:pPr>
        <w:spacing w:after="120"/>
        <w:jc w:val="both"/>
        <w:rPr>
          <w:rFonts w:ascii="Arial" w:hAnsi="Arial" w:cs="Arial"/>
        </w:rPr>
      </w:pPr>
      <w:r>
        <w:rPr>
          <w:rFonts w:ascii="Arial" w:hAnsi="Arial" w:cs="Arial"/>
        </w:rPr>
        <w:t>The contiguous or non-contiguous ambiguity issues associated with intra-band EN-DC combinations are two folds:</w:t>
      </w:r>
    </w:p>
    <w:p w14:paraId="7EF87CD9" w14:textId="77777777" w:rsidR="00494C7A" w:rsidRDefault="00494C7A" w:rsidP="00494C7A">
      <w:pPr>
        <w:spacing w:after="0"/>
        <w:jc w:val="both"/>
        <w:rPr>
          <w:rFonts w:ascii="Arial" w:hAnsi="Arial" w:cs="Arial"/>
        </w:rPr>
      </w:pPr>
    </w:p>
    <w:p w14:paraId="2DD7BA20" w14:textId="77777777" w:rsidR="00445B44" w:rsidRDefault="0055182E" w:rsidP="00445B44">
      <w:pPr>
        <w:pStyle w:val="ListParagraph"/>
        <w:numPr>
          <w:ilvl w:val="0"/>
          <w:numId w:val="19"/>
        </w:numPr>
        <w:spacing w:after="120"/>
        <w:jc w:val="both"/>
        <w:rPr>
          <w:rFonts w:ascii="Arial" w:hAnsi="Arial" w:cs="Arial"/>
        </w:rPr>
      </w:pPr>
      <w:r>
        <w:rPr>
          <w:rFonts w:ascii="Arial" w:hAnsi="Arial" w:cs="Arial"/>
        </w:rPr>
        <w:t xml:space="preserve">Whether contiguous or non-contiguous is determined by </w:t>
      </w:r>
      <w:r w:rsidR="00445B44">
        <w:rPr>
          <w:rFonts w:ascii="Arial" w:hAnsi="Arial" w:cs="Arial"/>
        </w:rPr>
        <w:t>the configuration between LTE and NR sub-blocks only (Option 1 in [2]) or determined by the entire LTE and NR spectrum (Option 2 in [2]).</w:t>
      </w:r>
    </w:p>
    <w:p w14:paraId="13185730" w14:textId="77777777" w:rsidR="00445B44" w:rsidRDefault="00445B44" w:rsidP="00445B44">
      <w:pPr>
        <w:pStyle w:val="ListParagraph"/>
        <w:spacing w:after="120"/>
        <w:jc w:val="both"/>
        <w:rPr>
          <w:rFonts w:ascii="Arial" w:hAnsi="Arial" w:cs="Arial"/>
        </w:rPr>
      </w:pPr>
    </w:p>
    <w:p w14:paraId="5057F228" w14:textId="77777777" w:rsidR="00445B44" w:rsidRDefault="00445B44" w:rsidP="00445B44">
      <w:pPr>
        <w:pStyle w:val="ListParagraph"/>
        <w:spacing w:after="120"/>
        <w:jc w:val="both"/>
        <w:rPr>
          <w:rFonts w:ascii="Arial" w:hAnsi="Arial" w:cs="Arial"/>
        </w:rPr>
      </w:pPr>
      <w:r>
        <w:rPr>
          <w:rFonts w:ascii="Arial" w:hAnsi="Arial" w:cs="Arial"/>
        </w:rPr>
        <w:t>Example: DC_48A-(n)48AA</w:t>
      </w:r>
    </w:p>
    <w:p w14:paraId="4F8F131A" w14:textId="77777777" w:rsidR="00445B44" w:rsidRDefault="00445B44" w:rsidP="00445B44">
      <w:pPr>
        <w:pStyle w:val="ListParagraph"/>
        <w:spacing w:after="120"/>
        <w:jc w:val="both"/>
        <w:rPr>
          <w:rFonts w:ascii="Arial" w:hAnsi="Arial" w:cs="Arial"/>
        </w:rPr>
      </w:pPr>
    </w:p>
    <w:p w14:paraId="1C13D408" w14:textId="77777777" w:rsidR="00445B44" w:rsidRDefault="00445B44" w:rsidP="00445B44">
      <w:pPr>
        <w:pStyle w:val="ListParagraph"/>
        <w:spacing w:after="120"/>
        <w:jc w:val="both"/>
        <w:rPr>
          <w:rFonts w:ascii="Arial" w:hAnsi="Arial" w:cs="Arial"/>
        </w:rPr>
      </w:pPr>
      <w:r>
        <w:rPr>
          <w:rFonts w:ascii="Arial" w:hAnsi="Arial" w:cs="Arial"/>
        </w:rPr>
        <w:t>Option 1: Contiguous</w:t>
      </w:r>
    </w:p>
    <w:p w14:paraId="2E78614F" w14:textId="77777777" w:rsidR="00445B44" w:rsidRDefault="00445B44" w:rsidP="00445B44">
      <w:pPr>
        <w:pStyle w:val="ListParagraph"/>
        <w:spacing w:after="120"/>
        <w:jc w:val="both"/>
        <w:rPr>
          <w:rFonts w:ascii="Arial" w:hAnsi="Arial" w:cs="Arial"/>
        </w:rPr>
      </w:pPr>
      <w:r>
        <w:rPr>
          <w:rFonts w:ascii="Arial" w:hAnsi="Arial" w:cs="Arial"/>
        </w:rPr>
        <w:t>Option 2: Non-contiguous</w:t>
      </w:r>
    </w:p>
    <w:p w14:paraId="577D42C3" w14:textId="77777777" w:rsidR="00445B44" w:rsidRDefault="00445B44" w:rsidP="00445B44">
      <w:pPr>
        <w:pStyle w:val="ListParagraph"/>
        <w:spacing w:after="120"/>
        <w:jc w:val="both"/>
        <w:rPr>
          <w:rFonts w:ascii="Arial" w:hAnsi="Arial" w:cs="Arial"/>
        </w:rPr>
      </w:pPr>
    </w:p>
    <w:p w14:paraId="009DCE5A" w14:textId="1A99C090" w:rsidR="00445B44" w:rsidRDefault="00445B44" w:rsidP="00445B44">
      <w:pPr>
        <w:pStyle w:val="ListParagraph"/>
        <w:numPr>
          <w:ilvl w:val="0"/>
          <w:numId w:val="19"/>
        </w:numPr>
        <w:spacing w:after="120"/>
        <w:jc w:val="both"/>
        <w:rPr>
          <w:rFonts w:ascii="Arial" w:hAnsi="Arial" w:cs="Arial"/>
        </w:rPr>
      </w:pPr>
      <w:r>
        <w:rPr>
          <w:rFonts w:ascii="Arial" w:hAnsi="Arial" w:cs="Arial"/>
        </w:rPr>
        <w:t>Whether contiguous or non-contiguous is determined by DL configuration only</w:t>
      </w:r>
      <w:r w:rsidR="000E734D">
        <w:rPr>
          <w:rFonts w:ascii="Arial" w:hAnsi="Arial" w:cs="Arial"/>
        </w:rPr>
        <w:t xml:space="preserve"> </w:t>
      </w:r>
      <w:r>
        <w:rPr>
          <w:rFonts w:ascii="Arial" w:hAnsi="Arial" w:cs="Arial"/>
        </w:rPr>
        <w:t>or determined by both DL and UL configurations.</w:t>
      </w:r>
    </w:p>
    <w:p w14:paraId="02BCB9CE" w14:textId="77777777" w:rsidR="00445B44" w:rsidRDefault="00445B44" w:rsidP="00445B44">
      <w:pPr>
        <w:pStyle w:val="ListParagraph"/>
        <w:spacing w:after="120"/>
        <w:jc w:val="both"/>
        <w:rPr>
          <w:rFonts w:ascii="Arial" w:hAnsi="Arial" w:cs="Arial"/>
        </w:rPr>
      </w:pPr>
    </w:p>
    <w:p w14:paraId="6EA1BE57" w14:textId="77777777" w:rsidR="00445B44" w:rsidRDefault="00445B44" w:rsidP="00445B44">
      <w:pPr>
        <w:pStyle w:val="ListParagraph"/>
        <w:spacing w:after="120"/>
        <w:jc w:val="both"/>
        <w:rPr>
          <w:rFonts w:ascii="Arial" w:hAnsi="Arial" w:cs="Arial"/>
        </w:rPr>
      </w:pPr>
      <w:r>
        <w:rPr>
          <w:rFonts w:ascii="Arial" w:hAnsi="Arial" w:cs="Arial"/>
        </w:rPr>
        <w:t>Example: DL DC_48CA with UL DC_48A_n48A</w:t>
      </w:r>
    </w:p>
    <w:p w14:paraId="54FF9AC7" w14:textId="77777777" w:rsidR="00445B44" w:rsidRDefault="00445B44" w:rsidP="00445B44">
      <w:pPr>
        <w:pStyle w:val="ListParagraph"/>
        <w:spacing w:after="120"/>
        <w:jc w:val="both"/>
        <w:rPr>
          <w:rFonts w:ascii="Arial" w:hAnsi="Arial" w:cs="Arial"/>
        </w:rPr>
      </w:pPr>
    </w:p>
    <w:p w14:paraId="5F099947" w14:textId="77777777" w:rsidR="000E734D" w:rsidRDefault="000E734D" w:rsidP="00445B44">
      <w:pPr>
        <w:pStyle w:val="ListParagraph"/>
        <w:spacing w:after="120"/>
        <w:jc w:val="both"/>
        <w:rPr>
          <w:rFonts w:ascii="Arial" w:hAnsi="Arial" w:cs="Arial"/>
        </w:rPr>
      </w:pPr>
      <w:r>
        <w:rPr>
          <w:rFonts w:ascii="Arial" w:hAnsi="Arial" w:cs="Arial"/>
        </w:rPr>
        <w:t>DL configuration only: Contiguous</w:t>
      </w:r>
    </w:p>
    <w:p w14:paraId="0C426255" w14:textId="77777777" w:rsidR="000E734D" w:rsidRDefault="000E734D" w:rsidP="00445B44">
      <w:pPr>
        <w:pStyle w:val="ListParagraph"/>
        <w:spacing w:after="120"/>
        <w:jc w:val="both"/>
        <w:rPr>
          <w:rFonts w:ascii="Arial" w:hAnsi="Arial" w:cs="Arial"/>
        </w:rPr>
      </w:pPr>
      <w:r>
        <w:rPr>
          <w:rFonts w:ascii="Arial" w:hAnsi="Arial" w:cs="Arial"/>
        </w:rPr>
        <w:t>Both DL and UL configurations: Non-contiguous</w:t>
      </w:r>
    </w:p>
    <w:p w14:paraId="42507B55" w14:textId="77777777" w:rsidR="000E734D" w:rsidRDefault="000E734D" w:rsidP="000E734D">
      <w:pPr>
        <w:spacing w:after="0"/>
        <w:jc w:val="both"/>
        <w:rPr>
          <w:rFonts w:ascii="Arial" w:hAnsi="Arial" w:cs="Arial"/>
        </w:rPr>
      </w:pPr>
    </w:p>
    <w:p w14:paraId="2C49A06D" w14:textId="028601DB" w:rsidR="0052518A" w:rsidRDefault="00654C4D" w:rsidP="000E734D">
      <w:pPr>
        <w:spacing w:after="120"/>
        <w:jc w:val="both"/>
        <w:rPr>
          <w:rFonts w:ascii="Arial" w:hAnsi="Arial" w:cs="Arial"/>
        </w:rPr>
      </w:pPr>
      <w:r>
        <w:rPr>
          <w:rFonts w:ascii="Arial" w:hAnsi="Arial" w:cs="Arial"/>
        </w:rPr>
        <w:t>In the second aspect, s</w:t>
      </w:r>
      <w:r w:rsidR="000E734D">
        <w:rPr>
          <w:rFonts w:ascii="Arial" w:hAnsi="Arial" w:cs="Arial"/>
        </w:rPr>
        <w:t xml:space="preserve">ince current RAN2 signalling parameter </w:t>
      </w:r>
      <w:r w:rsidR="000E734D" w:rsidRPr="00A81A70">
        <w:rPr>
          <w:rFonts w:ascii="Arial" w:hAnsi="Arial" w:cs="Arial"/>
          <w:i/>
          <w:iCs/>
        </w:rPr>
        <w:t>intraBandENDC-support</w:t>
      </w:r>
      <w:r w:rsidR="000E734D">
        <w:rPr>
          <w:rFonts w:ascii="Arial" w:hAnsi="Arial" w:cs="Arial"/>
        </w:rPr>
        <w:t xml:space="preserve"> is defined only for the combination, </w:t>
      </w:r>
      <w:r w:rsidR="0052518A">
        <w:rPr>
          <w:rFonts w:ascii="Arial" w:hAnsi="Arial" w:cs="Arial"/>
        </w:rPr>
        <w:t xml:space="preserve">but </w:t>
      </w:r>
      <w:r w:rsidR="000E734D">
        <w:rPr>
          <w:rFonts w:ascii="Arial" w:hAnsi="Arial" w:cs="Arial"/>
        </w:rPr>
        <w:t>not for DL and UL separately and RAN4’s definition is also for the combination</w:t>
      </w:r>
      <w:r w:rsidR="0052518A">
        <w:rPr>
          <w:rFonts w:ascii="Arial" w:hAnsi="Arial" w:cs="Arial"/>
        </w:rPr>
        <w:t xml:space="preserve"> </w:t>
      </w:r>
      <w:r w:rsidR="000E734D">
        <w:rPr>
          <w:rFonts w:ascii="Arial" w:hAnsi="Arial" w:cs="Arial"/>
        </w:rPr>
        <w:t>only</w:t>
      </w:r>
      <w:r w:rsidR="0052518A">
        <w:rPr>
          <w:rFonts w:ascii="Arial" w:hAnsi="Arial" w:cs="Arial"/>
        </w:rPr>
        <w:t xml:space="preserve"> and</w:t>
      </w:r>
      <w:r w:rsidR="000E734D">
        <w:rPr>
          <w:rFonts w:ascii="Arial" w:hAnsi="Arial" w:cs="Arial"/>
        </w:rPr>
        <w:t xml:space="preserve"> not for DL and UL separately, in our view, the</w:t>
      </w:r>
      <w:r>
        <w:rPr>
          <w:rFonts w:ascii="Arial" w:hAnsi="Arial" w:cs="Arial"/>
        </w:rPr>
        <w:t xml:space="preserve"> definition</w:t>
      </w:r>
      <w:r w:rsidR="000E734D">
        <w:rPr>
          <w:rFonts w:ascii="Arial" w:hAnsi="Arial" w:cs="Arial"/>
        </w:rPr>
        <w:t xml:space="preserve"> should be based on both DL and UL configurations</w:t>
      </w:r>
      <w:r>
        <w:rPr>
          <w:rFonts w:ascii="Arial" w:hAnsi="Arial" w:cs="Arial"/>
        </w:rPr>
        <w:t>, otherwise, the EN-DC combination would lose its inter-dependency between the DL and UL. On the other hand, irrespective of how many CCs are configured in each cell group, each cell group sh</w:t>
      </w:r>
      <w:r w:rsidR="00252C9C">
        <w:rPr>
          <w:rFonts w:ascii="Arial" w:hAnsi="Arial" w:cs="Arial"/>
        </w:rPr>
        <w:t xml:space="preserve">ould </w:t>
      </w:r>
      <w:r>
        <w:rPr>
          <w:rFonts w:ascii="Arial" w:hAnsi="Arial" w:cs="Arial"/>
        </w:rPr>
        <w:t xml:space="preserve">always allow </w:t>
      </w:r>
      <w:r w:rsidR="00252C9C">
        <w:rPr>
          <w:rFonts w:ascii="Arial" w:hAnsi="Arial" w:cs="Arial"/>
        </w:rPr>
        <w:t xml:space="preserve">its </w:t>
      </w:r>
      <w:r w:rsidR="00252C9C">
        <w:rPr>
          <w:rFonts w:ascii="Arial" w:hAnsi="Arial" w:cs="Arial"/>
        </w:rPr>
        <w:lastRenderedPageBreak/>
        <w:t>own</w:t>
      </w:r>
      <w:r>
        <w:rPr>
          <w:rFonts w:ascii="Arial" w:hAnsi="Arial" w:cs="Arial"/>
        </w:rPr>
        <w:t xml:space="preserve"> configuration to fall back to its primary cell only. Therefore, in our view, the </w:t>
      </w:r>
      <w:r w:rsidR="00252C9C">
        <w:rPr>
          <w:rFonts w:ascii="Arial" w:hAnsi="Arial" w:cs="Arial"/>
        </w:rPr>
        <w:t>contiguous or non-contiguous</w:t>
      </w:r>
      <w:r w:rsidR="0052518A">
        <w:rPr>
          <w:rFonts w:ascii="Arial" w:hAnsi="Arial" w:cs="Arial"/>
        </w:rPr>
        <w:t xml:space="preserve"> </w:t>
      </w:r>
      <w:r w:rsidR="00252C9C">
        <w:rPr>
          <w:rFonts w:ascii="Arial" w:hAnsi="Arial" w:cs="Arial"/>
        </w:rPr>
        <w:t xml:space="preserve">definition should be determined by </w:t>
      </w:r>
      <w:r w:rsidR="00252C9C" w:rsidRPr="00252C9C">
        <w:rPr>
          <w:rFonts w:ascii="Arial" w:hAnsi="Arial" w:cs="Arial"/>
        </w:rPr>
        <w:t>the configuration between the primary cells f</w:t>
      </w:r>
      <w:r w:rsidR="0052518A">
        <w:rPr>
          <w:rFonts w:ascii="Arial" w:hAnsi="Arial" w:cs="Arial"/>
        </w:rPr>
        <w:t xml:space="preserve">rom </w:t>
      </w:r>
      <w:r w:rsidR="00252C9C" w:rsidRPr="00252C9C">
        <w:rPr>
          <w:rFonts w:ascii="Arial" w:hAnsi="Arial" w:cs="Arial"/>
        </w:rPr>
        <w:t>each cell group</w:t>
      </w:r>
      <w:r w:rsidR="00C13471">
        <w:rPr>
          <w:rFonts w:ascii="Arial" w:hAnsi="Arial" w:cs="Arial"/>
        </w:rPr>
        <w:t xml:space="preserve"> which </w:t>
      </w:r>
      <w:r w:rsidR="0052518A">
        <w:rPr>
          <w:rFonts w:ascii="Arial" w:hAnsi="Arial" w:cs="Arial"/>
        </w:rPr>
        <w:t>a</w:t>
      </w:r>
      <w:r w:rsidR="00252C9C">
        <w:rPr>
          <w:rFonts w:ascii="Arial" w:hAnsi="Arial" w:cs="Arial"/>
        </w:rPr>
        <w:t>s</w:t>
      </w:r>
      <w:r w:rsidR="0052518A">
        <w:rPr>
          <w:rFonts w:ascii="Arial" w:hAnsi="Arial" w:cs="Arial"/>
        </w:rPr>
        <w:t xml:space="preserve"> is</w:t>
      </w:r>
      <w:r w:rsidR="00252C9C">
        <w:rPr>
          <w:rFonts w:ascii="Arial" w:hAnsi="Arial" w:cs="Arial"/>
        </w:rPr>
        <w:t xml:space="preserve"> illustrated in Figure 2-1, this configuration </w:t>
      </w:r>
      <w:r w:rsidR="0052518A">
        <w:rPr>
          <w:rFonts w:ascii="Arial" w:hAnsi="Arial" w:cs="Arial"/>
        </w:rPr>
        <w:t>is</w:t>
      </w:r>
      <w:r w:rsidR="00252C9C">
        <w:rPr>
          <w:rFonts w:ascii="Arial" w:hAnsi="Arial" w:cs="Arial"/>
        </w:rPr>
        <w:t xml:space="preserve"> defined as intra-band non-contiguous EN-DC.</w:t>
      </w:r>
    </w:p>
    <w:p w14:paraId="6A01F105" w14:textId="77777777" w:rsidR="00C13471" w:rsidRDefault="00C13471" w:rsidP="00C13471">
      <w:pPr>
        <w:spacing w:after="0"/>
        <w:jc w:val="both"/>
        <w:rPr>
          <w:rFonts w:ascii="Arial" w:hAnsi="Arial" w:cs="Arial"/>
        </w:rPr>
      </w:pPr>
    </w:p>
    <w:p w14:paraId="4716D619" w14:textId="48940E25" w:rsidR="0052518A" w:rsidRDefault="00C13471" w:rsidP="000E734D">
      <w:pPr>
        <w:spacing w:after="120"/>
        <w:jc w:val="both"/>
        <w:rPr>
          <w:rFonts w:ascii="Arial" w:hAnsi="Arial" w:cs="Arial"/>
        </w:rPr>
      </w:pPr>
      <w:r>
        <w:rPr>
          <w:rFonts w:ascii="Arial" w:hAnsi="Arial" w:cs="Arial"/>
          <w:noProof/>
        </w:rPr>
        <w:drawing>
          <wp:inline distT="0" distB="0" distL="0" distR="0" wp14:anchorId="72EF8086" wp14:editId="6D6CD075">
            <wp:extent cx="6122035" cy="2320290"/>
            <wp:effectExtent l="0" t="0" r="0" b="3810"/>
            <wp:docPr id="1" name="Picture 1" descr="Graphical user interface, Team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am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2035" cy="2320290"/>
                    </a:xfrm>
                    <a:prstGeom prst="rect">
                      <a:avLst/>
                    </a:prstGeom>
                  </pic:spPr>
                </pic:pic>
              </a:graphicData>
            </a:graphic>
          </wp:inline>
        </w:drawing>
      </w:r>
    </w:p>
    <w:p w14:paraId="61B62638" w14:textId="77777777" w:rsidR="00C13471" w:rsidRDefault="00C13471" w:rsidP="00C13471">
      <w:pPr>
        <w:spacing w:after="0"/>
        <w:jc w:val="center"/>
        <w:rPr>
          <w:rFonts w:ascii="Arial" w:hAnsi="Arial" w:cs="Arial"/>
          <w:b/>
        </w:rPr>
      </w:pPr>
    </w:p>
    <w:p w14:paraId="1C217DB0" w14:textId="108BE3FD" w:rsidR="00252C9C" w:rsidRDefault="0052518A" w:rsidP="0052518A">
      <w:pPr>
        <w:spacing w:after="120"/>
        <w:jc w:val="center"/>
        <w:rPr>
          <w:rFonts w:ascii="Arial" w:hAnsi="Arial" w:cs="Arial"/>
        </w:rPr>
      </w:pPr>
      <w:r>
        <w:rPr>
          <w:rFonts w:ascii="Arial" w:hAnsi="Arial" w:cs="Arial"/>
          <w:b/>
        </w:rPr>
        <w:t xml:space="preserve">Figure 2-1 Intra-band non-contiguous EN-DC defined based on </w:t>
      </w:r>
      <w:r w:rsidR="003B7668" w:rsidRPr="003B7668">
        <w:rPr>
          <w:rFonts w:ascii="Arial" w:hAnsi="Arial" w:cs="Arial"/>
          <w:b/>
        </w:rPr>
        <w:t>the configuration</w:t>
      </w:r>
      <w:r w:rsidR="003B7668">
        <w:rPr>
          <w:rFonts w:ascii="Arial" w:hAnsi="Arial" w:cs="Arial"/>
          <w:b/>
        </w:rPr>
        <w:t xml:space="preserve"> of </w:t>
      </w:r>
      <w:r w:rsidR="003B7668" w:rsidRPr="003B7668">
        <w:rPr>
          <w:rFonts w:ascii="Arial" w:hAnsi="Arial" w:cs="Arial"/>
          <w:b/>
        </w:rPr>
        <w:t>the primary cells</w:t>
      </w:r>
    </w:p>
    <w:p w14:paraId="66D132DE" w14:textId="02994B1D" w:rsidR="0052518A" w:rsidRDefault="0052518A" w:rsidP="003B7668">
      <w:pPr>
        <w:spacing w:after="0"/>
        <w:jc w:val="both"/>
        <w:rPr>
          <w:rFonts w:ascii="Arial" w:hAnsi="Arial" w:cs="Arial"/>
        </w:rPr>
      </w:pPr>
    </w:p>
    <w:p w14:paraId="4DE3508E" w14:textId="0A1256AF" w:rsidR="0052518A" w:rsidRPr="003B7668" w:rsidRDefault="003B7668" w:rsidP="000E734D">
      <w:pPr>
        <w:spacing w:after="120"/>
        <w:jc w:val="both"/>
        <w:rPr>
          <w:rFonts w:ascii="Arial" w:hAnsi="Arial" w:cs="Arial"/>
          <w:i/>
          <w:iCs/>
        </w:rPr>
      </w:pPr>
      <w:r w:rsidRPr="003B7668">
        <w:rPr>
          <w:rFonts w:ascii="Arial" w:hAnsi="Arial" w:cs="Arial"/>
          <w:b/>
          <w:bCs/>
          <w:i/>
          <w:iCs/>
        </w:rPr>
        <w:t>Observation 1</w:t>
      </w:r>
      <w:r w:rsidRPr="003B7668">
        <w:rPr>
          <w:rFonts w:ascii="Arial" w:hAnsi="Arial" w:cs="Arial"/>
          <w:i/>
          <w:iCs/>
        </w:rPr>
        <w:t>: Irrespective of how many CCs are configured in each cell group, each cell group should always allow its own configuration to fall back to its primary cell only.</w:t>
      </w:r>
    </w:p>
    <w:p w14:paraId="7C943709" w14:textId="5D104EB3" w:rsidR="003B7668" w:rsidRDefault="003B7668" w:rsidP="003B7668">
      <w:pPr>
        <w:spacing w:after="0"/>
        <w:jc w:val="both"/>
        <w:rPr>
          <w:rFonts w:ascii="Arial" w:hAnsi="Arial" w:cs="Arial"/>
        </w:rPr>
      </w:pPr>
    </w:p>
    <w:p w14:paraId="55A821BC" w14:textId="31C7E98F" w:rsidR="003B7668" w:rsidRPr="003B7668" w:rsidRDefault="003B7668" w:rsidP="000E734D">
      <w:pPr>
        <w:spacing w:after="120"/>
        <w:jc w:val="both"/>
        <w:rPr>
          <w:rFonts w:ascii="Arial" w:hAnsi="Arial" w:cs="Arial"/>
          <w:i/>
          <w:iCs/>
        </w:rPr>
      </w:pPr>
      <w:r w:rsidRPr="003B7668">
        <w:rPr>
          <w:rFonts w:ascii="Arial" w:hAnsi="Arial" w:cs="Arial"/>
          <w:b/>
          <w:bCs/>
          <w:i/>
          <w:iCs/>
        </w:rPr>
        <w:t>Proposal 1</w:t>
      </w:r>
      <w:r w:rsidRPr="003B7668">
        <w:rPr>
          <w:rFonts w:ascii="Arial" w:hAnsi="Arial" w:cs="Arial"/>
          <w:i/>
          <w:iCs/>
        </w:rPr>
        <w:t xml:space="preserve">: For intra-band EN-DC, contiguous or non-contiguous is determined by the configuration between the primary cells from each cell group. </w:t>
      </w:r>
    </w:p>
    <w:p w14:paraId="120CA895" w14:textId="77777777" w:rsidR="003B7668" w:rsidRDefault="003B7668" w:rsidP="003B7668">
      <w:pPr>
        <w:spacing w:after="0"/>
        <w:jc w:val="both"/>
        <w:rPr>
          <w:rFonts w:ascii="Arial" w:hAnsi="Arial" w:cs="Arial"/>
        </w:rPr>
      </w:pPr>
    </w:p>
    <w:p w14:paraId="5D1C88A9" w14:textId="3022B9CA" w:rsidR="00FB6F29" w:rsidRDefault="003B7668" w:rsidP="000E734D">
      <w:pPr>
        <w:spacing w:after="120"/>
        <w:jc w:val="both"/>
        <w:rPr>
          <w:rFonts w:ascii="Arial" w:hAnsi="Arial" w:cs="Arial"/>
        </w:rPr>
      </w:pPr>
      <w:r>
        <w:rPr>
          <w:rFonts w:ascii="Arial" w:hAnsi="Arial" w:cs="Arial"/>
        </w:rPr>
        <w:t xml:space="preserve">In the first aspect, since RAN2 signalling design for intra-band EN-DC combinations includes LTE DL CA configuration, LTE UL CA configuration, NR DL CA configuration, NR UL CA configuration, and the </w:t>
      </w:r>
      <w:r w:rsidR="00FB6F29">
        <w:rPr>
          <w:rFonts w:ascii="Arial" w:hAnsi="Arial" w:cs="Arial"/>
        </w:rPr>
        <w:t xml:space="preserve">EN-DC part of the configuration is signalled by the parameter </w:t>
      </w:r>
      <w:r w:rsidR="00FB6F29" w:rsidRPr="00A81A70">
        <w:rPr>
          <w:rFonts w:ascii="Arial" w:hAnsi="Arial" w:cs="Arial"/>
          <w:i/>
          <w:iCs/>
        </w:rPr>
        <w:t>intraBandENDC-support</w:t>
      </w:r>
      <w:r w:rsidR="00FB6F29">
        <w:rPr>
          <w:rFonts w:ascii="Arial" w:hAnsi="Arial" w:cs="Arial"/>
        </w:rPr>
        <w:t>, therefore, we think only the configuration between LTE and NR sub-blocks are relevant to the contiguous or non-contiguous definition of the intra-band EN-DC combinations.</w:t>
      </w:r>
      <w:r w:rsidR="00B65A8F">
        <w:rPr>
          <w:rFonts w:ascii="Arial" w:hAnsi="Arial" w:cs="Arial"/>
        </w:rPr>
        <w:t xml:space="preserve"> The configurations within LTE cell group and NR cell group can be taken care by their corresponding signalling for CA. </w:t>
      </w:r>
    </w:p>
    <w:p w14:paraId="47D28090" w14:textId="77777777" w:rsidR="00FB6F29" w:rsidRDefault="00FB6F29" w:rsidP="00FB6F29">
      <w:pPr>
        <w:spacing w:after="0"/>
        <w:jc w:val="both"/>
        <w:rPr>
          <w:rFonts w:ascii="Arial" w:hAnsi="Arial" w:cs="Arial"/>
        </w:rPr>
      </w:pPr>
    </w:p>
    <w:p w14:paraId="2A0817FF" w14:textId="13E2F06D" w:rsidR="00FB6F29" w:rsidRPr="003B7668" w:rsidRDefault="00FB6F29" w:rsidP="00FB6F29">
      <w:pPr>
        <w:spacing w:after="120"/>
        <w:jc w:val="both"/>
        <w:rPr>
          <w:rFonts w:ascii="Arial" w:hAnsi="Arial" w:cs="Arial"/>
          <w:i/>
          <w:iCs/>
        </w:rPr>
      </w:pPr>
      <w:r w:rsidRPr="003B7668">
        <w:rPr>
          <w:rFonts w:ascii="Arial" w:hAnsi="Arial" w:cs="Arial"/>
          <w:b/>
          <w:bCs/>
          <w:i/>
          <w:iCs/>
        </w:rPr>
        <w:t xml:space="preserve">Observation </w:t>
      </w:r>
      <w:r>
        <w:rPr>
          <w:rFonts w:ascii="Arial" w:hAnsi="Arial" w:cs="Arial"/>
          <w:b/>
          <w:bCs/>
          <w:i/>
          <w:iCs/>
        </w:rPr>
        <w:t>2</w:t>
      </w:r>
      <w:r w:rsidRPr="003B7668">
        <w:rPr>
          <w:rFonts w:ascii="Arial" w:hAnsi="Arial" w:cs="Arial"/>
          <w:i/>
          <w:iCs/>
        </w:rPr>
        <w:t xml:space="preserve">: </w:t>
      </w:r>
      <w:r w:rsidRPr="00FB6F29">
        <w:rPr>
          <w:rFonts w:ascii="Arial" w:hAnsi="Arial" w:cs="Arial"/>
          <w:i/>
          <w:iCs/>
        </w:rPr>
        <w:t>RAN2 signalling design for intra-band EN-DC combinations includes LTE DL CA configuration, LTE UL CA configuration, NR DL CA configuration, NR UL CA configuration, and the EN-DC part of the configuration is signalled by the parameter intraBandENDC-support</w:t>
      </w:r>
      <w:r>
        <w:rPr>
          <w:rFonts w:ascii="Arial" w:hAnsi="Arial" w:cs="Arial"/>
          <w:i/>
          <w:iCs/>
        </w:rPr>
        <w:t>.</w:t>
      </w:r>
    </w:p>
    <w:p w14:paraId="138D5513" w14:textId="77777777" w:rsidR="00FB6F29" w:rsidRDefault="00FB6F29" w:rsidP="00FB6F29">
      <w:pPr>
        <w:spacing w:after="0"/>
        <w:jc w:val="both"/>
        <w:rPr>
          <w:rFonts w:ascii="Arial" w:hAnsi="Arial" w:cs="Arial"/>
        </w:rPr>
      </w:pPr>
    </w:p>
    <w:p w14:paraId="51DF5C42" w14:textId="3A69F9A6" w:rsidR="0055182E" w:rsidRPr="000E734D" w:rsidRDefault="00FB6F29" w:rsidP="00FB6F29">
      <w:pPr>
        <w:spacing w:after="120"/>
        <w:jc w:val="both"/>
        <w:rPr>
          <w:rFonts w:ascii="Arial" w:hAnsi="Arial" w:cs="Arial"/>
        </w:rPr>
      </w:pPr>
      <w:r w:rsidRPr="003B7668">
        <w:rPr>
          <w:rFonts w:ascii="Arial" w:hAnsi="Arial" w:cs="Arial"/>
          <w:b/>
          <w:bCs/>
          <w:i/>
          <w:iCs/>
        </w:rPr>
        <w:t xml:space="preserve">Proposal </w:t>
      </w:r>
      <w:r>
        <w:rPr>
          <w:rFonts w:ascii="Arial" w:hAnsi="Arial" w:cs="Arial"/>
          <w:b/>
          <w:bCs/>
          <w:i/>
          <w:iCs/>
        </w:rPr>
        <w:t>2</w:t>
      </w:r>
      <w:r w:rsidRPr="003B7668">
        <w:rPr>
          <w:rFonts w:ascii="Arial" w:hAnsi="Arial" w:cs="Arial"/>
          <w:i/>
          <w:iCs/>
        </w:rPr>
        <w:t xml:space="preserve">: </w:t>
      </w:r>
      <w:r w:rsidR="00B65A8F">
        <w:rPr>
          <w:rFonts w:ascii="Arial" w:hAnsi="Arial" w:cs="Arial"/>
          <w:i/>
          <w:iCs/>
        </w:rPr>
        <w:t>O</w:t>
      </w:r>
      <w:r w:rsidR="00B65A8F" w:rsidRPr="00B65A8F">
        <w:rPr>
          <w:rFonts w:ascii="Arial" w:hAnsi="Arial" w:cs="Arial"/>
          <w:i/>
          <w:iCs/>
        </w:rPr>
        <w:t>nly the configuration between LTE and NR sub-blocks are relevant to the contiguous or non-contiguous definition of the intra-band EN-DC combinations.</w:t>
      </w:r>
      <w:r w:rsidR="003B7668">
        <w:rPr>
          <w:rFonts w:ascii="Arial" w:hAnsi="Arial" w:cs="Arial"/>
        </w:rPr>
        <w:t xml:space="preserve"> </w:t>
      </w:r>
      <w:r w:rsidR="00252C9C">
        <w:rPr>
          <w:rFonts w:ascii="Arial" w:hAnsi="Arial" w:cs="Arial"/>
        </w:rPr>
        <w:t xml:space="preserve">  </w:t>
      </w:r>
      <w:r w:rsidR="00445B44" w:rsidRPr="000E734D">
        <w:rPr>
          <w:rFonts w:ascii="Arial" w:hAnsi="Arial" w:cs="Arial"/>
        </w:rPr>
        <w:t xml:space="preserve"> </w:t>
      </w:r>
      <w:r w:rsidR="0055182E" w:rsidRPr="000E734D">
        <w:rPr>
          <w:rFonts w:ascii="Arial" w:hAnsi="Arial" w:cs="Arial"/>
        </w:rPr>
        <w:t xml:space="preserve"> </w:t>
      </w:r>
    </w:p>
    <w:p w14:paraId="363AE1F9" w14:textId="77777777" w:rsidR="00EC1705" w:rsidRDefault="00EC1705" w:rsidP="00EC1705">
      <w:pPr>
        <w:spacing w:after="0"/>
        <w:jc w:val="both"/>
        <w:rPr>
          <w:rFonts w:ascii="Arial" w:hAnsi="Arial" w:cs="Arial"/>
        </w:rPr>
      </w:pPr>
    </w:p>
    <w:p w14:paraId="4AF94382" w14:textId="77777777" w:rsidR="003D65F6" w:rsidRDefault="00B65A8F" w:rsidP="003D65F6">
      <w:pPr>
        <w:spacing w:after="120"/>
        <w:jc w:val="both"/>
        <w:rPr>
          <w:rFonts w:ascii="Arial" w:hAnsi="Arial" w:cs="Arial"/>
        </w:rPr>
      </w:pPr>
      <w:r>
        <w:rPr>
          <w:rFonts w:ascii="Arial" w:hAnsi="Arial" w:cs="Arial"/>
        </w:rPr>
        <w:t xml:space="preserve">Based on the above assessment, we think from UE capability signalling perspective, </w:t>
      </w:r>
      <w:r w:rsidRPr="003D65F6">
        <w:rPr>
          <w:rFonts w:ascii="Arial" w:hAnsi="Arial" w:cs="Arial"/>
        </w:rPr>
        <w:t>the existing RAN2 signa</w:t>
      </w:r>
      <w:r w:rsidR="003D65F6">
        <w:rPr>
          <w:rFonts w:ascii="Arial" w:hAnsi="Arial" w:cs="Arial"/>
        </w:rPr>
        <w:t>l</w:t>
      </w:r>
      <w:r w:rsidRPr="003D65F6">
        <w:rPr>
          <w:rFonts w:ascii="Arial" w:hAnsi="Arial" w:cs="Arial"/>
        </w:rPr>
        <w:t>ling design is sufficient to indicate UE’s support for different configurations. There is no need to introduce new signal</w:t>
      </w:r>
      <w:r w:rsidR="003D65F6">
        <w:rPr>
          <w:rFonts w:ascii="Arial" w:hAnsi="Arial" w:cs="Arial"/>
        </w:rPr>
        <w:t>l</w:t>
      </w:r>
      <w:r w:rsidRPr="003D65F6">
        <w:rPr>
          <w:rFonts w:ascii="Arial" w:hAnsi="Arial" w:cs="Arial"/>
        </w:rPr>
        <w:t>ing to differentiate intra-band DL and UL EN-DC configurations separately.</w:t>
      </w:r>
      <w:r w:rsidR="003D65F6">
        <w:rPr>
          <w:rFonts w:ascii="Arial" w:hAnsi="Arial" w:cs="Arial"/>
        </w:rPr>
        <w:t xml:space="preserve"> For example, UE can signal </w:t>
      </w:r>
      <w:r w:rsidR="003D65F6" w:rsidRPr="003D65F6">
        <w:rPr>
          <w:rFonts w:ascii="Arial" w:hAnsi="Arial" w:cs="Arial"/>
        </w:rPr>
        <w:t xml:space="preserve">LTE DL CA BW class C and UL CA BW class A, NR DL CA BW class A and UL CA BW class A, and </w:t>
      </w:r>
      <w:r w:rsidR="003D65F6" w:rsidRPr="003D65F6">
        <w:rPr>
          <w:rFonts w:ascii="Arial" w:hAnsi="Arial" w:cs="Arial"/>
          <w:i/>
          <w:iCs/>
        </w:rPr>
        <w:t>intraBandENDC-support</w:t>
      </w:r>
      <w:r w:rsidR="003D65F6" w:rsidRPr="003D65F6">
        <w:rPr>
          <w:rFonts w:ascii="Arial" w:hAnsi="Arial" w:cs="Arial"/>
        </w:rPr>
        <w:t xml:space="preserve"> as “both” in order to support DC_(n)48CA with UL DC_(n)48AA and UL DC_48A_n48A.</w:t>
      </w:r>
      <w:r w:rsidR="00B21FFC">
        <w:rPr>
          <w:rFonts w:ascii="Arial" w:hAnsi="Arial" w:cs="Arial"/>
        </w:rPr>
        <w:t xml:space="preserve"> </w:t>
      </w:r>
      <w:r w:rsidR="005F282D">
        <w:rPr>
          <w:rFonts w:ascii="Arial" w:hAnsi="Arial" w:cs="Arial"/>
        </w:rPr>
        <w:t xml:space="preserve"> </w:t>
      </w:r>
      <w:r w:rsidR="003D65F6">
        <w:rPr>
          <w:rFonts w:ascii="Arial" w:hAnsi="Arial" w:cs="Arial"/>
        </w:rPr>
        <w:t>With this capability signalling, UE is also expected to be able to support DL DC_48C_n48A</w:t>
      </w:r>
      <w:r w:rsidR="005F282D">
        <w:rPr>
          <w:rFonts w:ascii="Arial" w:hAnsi="Arial" w:cs="Arial"/>
        </w:rPr>
        <w:t xml:space="preserve"> </w:t>
      </w:r>
      <w:r w:rsidR="003D65F6">
        <w:rPr>
          <w:rFonts w:ascii="Arial" w:hAnsi="Arial" w:cs="Arial"/>
        </w:rPr>
        <w:t>and UL DC_48A_n48A.</w:t>
      </w:r>
    </w:p>
    <w:p w14:paraId="218AD184" w14:textId="7345AA53" w:rsidR="003D65F6" w:rsidRDefault="003D65F6" w:rsidP="0073496B">
      <w:pPr>
        <w:spacing w:after="0"/>
        <w:jc w:val="both"/>
        <w:rPr>
          <w:rFonts w:ascii="Arial" w:hAnsi="Arial" w:cs="Arial"/>
        </w:rPr>
      </w:pPr>
    </w:p>
    <w:p w14:paraId="52A4235E" w14:textId="0DB9872B" w:rsidR="003279DD" w:rsidRPr="003279DD" w:rsidRDefault="003279DD" w:rsidP="003279DD">
      <w:pPr>
        <w:spacing w:after="120"/>
        <w:jc w:val="both"/>
        <w:rPr>
          <w:rFonts w:ascii="Arial" w:hAnsi="Arial" w:cs="Arial"/>
          <w:i/>
          <w:iCs/>
        </w:rPr>
      </w:pPr>
      <w:r w:rsidRPr="003279DD">
        <w:rPr>
          <w:rFonts w:ascii="Arial" w:hAnsi="Arial" w:cs="Arial"/>
          <w:b/>
          <w:bCs/>
          <w:i/>
          <w:iCs/>
        </w:rPr>
        <w:t>Proposal 3</w:t>
      </w:r>
      <w:r w:rsidRPr="003279DD">
        <w:rPr>
          <w:rFonts w:ascii="Arial" w:hAnsi="Arial" w:cs="Arial"/>
          <w:i/>
          <w:iCs/>
        </w:rPr>
        <w:t>: The existing RAN2 signalling design is sufficient to indicate UE’s support for different intra-band EN-DC configurations. There is no need to introduce new signalling to differentiate intra-band DL and UL EN-DC configurations separately.</w:t>
      </w:r>
    </w:p>
    <w:p w14:paraId="23D26B10" w14:textId="77777777" w:rsidR="003279DD" w:rsidRDefault="003279DD" w:rsidP="0073496B">
      <w:pPr>
        <w:spacing w:after="0"/>
        <w:jc w:val="both"/>
        <w:rPr>
          <w:rFonts w:ascii="Arial" w:hAnsi="Arial" w:cs="Arial"/>
        </w:rPr>
      </w:pPr>
    </w:p>
    <w:p w14:paraId="39C82EF7" w14:textId="0C2FB315" w:rsidR="00494C7A" w:rsidRDefault="003D65F6" w:rsidP="00494C7A">
      <w:pPr>
        <w:spacing w:after="120"/>
        <w:jc w:val="both"/>
        <w:rPr>
          <w:rFonts w:ascii="Arial" w:hAnsi="Arial" w:cs="Arial"/>
        </w:rPr>
      </w:pPr>
      <w:r>
        <w:rPr>
          <w:rFonts w:ascii="Arial" w:hAnsi="Arial" w:cs="Arial"/>
        </w:rPr>
        <w:t xml:space="preserve">Lastly, although </w:t>
      </w:r>
      <w:r w:rsidRPr="003D65F6">
        <w:rPr>
          <w:rFonts w:ascii="Arial" w:hAnsi="Arial" w:cs="Arial"/>
          <w:i/>
          <w:iCs/>
        </w:rPr>
        <w:t>intraBandENDC-support</w:t>
      </w:r>
      <w:r>
        <w:rPr>
          <w:rFonts w:ascii="Arial" w:hAnsi="Arial" w:cs="Arial"/>
        </w:rPr>
        <w:t xml:space="preserve"> allows UE to signal the support of </w:t>
      </w:r>
      <w:r w:rsidR="00494C7A">
        <w:rPr>
          <w:rFonts w:ascii="Arial" w:hAnsi="Arial" w:cs="Arial"/>
        </w:rPr>
        <w:t xml:space="preserve">either </w:t>
      </w:r>
      <w:r>
        <w:rPr>
          <w:rFonts w:ascii="Arial" w:hAnsi="Arial" w:cs="Arial"/>
        </w:rPr>
        <w:t>“contiguous”, “non-contiguous”, or “both”</w:t>
      </w:r>
      <w:r w:rsidR="00494C7A">
        <w:rPr>
          <w:rFonts w:ascii="Arial" w:hAnsi="Arial" w:cs="Arial"/>
        </w:rPr>
        <w:t xml:space="preserve"> </w:t>
      </w:r>
      <w:r w:rsidR="003279DD">
        <w:rPr>
          <w:rFonts w:ascii="Arial" w:hAnsi="Arial" w:cs="Arial"/>
        </w:rPr>
        <w:t>configuration,</w:t>
      </w:r>
      <w:r w:rsidR="00494C7A">
        <w:rPr>
          <w:rFonts w:ascii="Arial" w:hAnsi="Arial" w:cs="Arial"/>
        </w:rPr>
        <w:t xml:space="preserve"> </w:t>
      </w:r>
      <w:r>
        <w:rPr>
          <w:rFonts w:ascii="Arial" w:hAnsi="Arial" w:cs="Arial"/>
        </w:rPr>
        <w:t xml:space="preserve">from </w:t>
      </w:r>
      <w:r w:rsidR="00494C7A">
        <w:rPr>
          <w:rFonts w:ascii="Arial" w:hAnsi="Arial" w:cs="Arial"/>
        </w:rPr>
        <w:t xml:space="preserve">practical </w:t>
      </w:r>
      <w:r>
        <w:rPr>
          <w:rFonts w:ascii="Arial" w:hAnsi="Arial" w:cs="Arial"/>
        </w:rPr>
        <w:t xml:space="preserve">UE implementation point of view, if a UE is capable of </w:t>
      </w:r>
      <w:r>
        <w:rPr>
          <w:rFonts w:ascii="Arial" w:hAnsi="Arial" w:cs="Arial"/>
        </w:rPr>
        <w:lastRenderedPageBreak/>
        <w:t xml:space="preserve">supporting non-contiguous configuration </w:t>
      </w:r>
      <w:r w:rsidR="003279DD">
        <w:rPr>
          <w:rFonts w:ascii="Arial" w:hAnsi="Arial" w:cs="Arial"/>
        </w:rPr>
        <w:t xml:space="preserve">in either DL or UL, it </w:t>
      </w:r>
      <w:r w:rsidR="00C13471">
        <w:rPr>
          <w:rFonts w:ascii="Arial" w:hAnsi="Arial" w:cs="Arial"/>
        </w:rPr>
        <w:t>should also be</w:t>
      </w:r>
      <w:r w:rsidR="003279DD">
        <w:rPr>
          <w:rFonts w:ascii="Arial" w:hAnsi="Arial" w:cs="Arial"/>
        </w:rPr>
        <w:t xml:space="preserve"> able to support contiguous configuration in the corresponding DL or UL</w:t>
      </w:r>
      <w:r w:rsidR="00494C7A">
        <w:rPr>
          <w:rFonts w:ascii="Arial" w:hAnsi="Arial" w:cs="Arial"/>
        </w:rPr>
        <w:t xml:space="preserve">, but not the other way around. </w:t>
      </w:r>
      <w:r w:rsidR="00494C7A" w:rsidRPr="00494C7A">
        <w:rPr>
          <w:rFonts w:ascii="Arial" w:hAnsi="Arial" w:cs="Arial"/>
        </w:rPr>
        <w:t>The boundary between contiguous and non-contiguous is the “nominal channel spacing”. When the carrier spacing is slightly above the nominal channel spacing, it is considered as non-contiguous configuration, however, the RF nature for such configuration is still very much the same as contiguous.</w:t>
      </w:r>
    </w:p>
    <w:p w14:paraId="5E2A2E75" w14:textId="77777777" w:rsidR="00494C7A" w:rsidRDefault="00494C7A" w:rsidP="0073496B">
      <w:pPr>
        <w:spacing w:after="0"/>
        <w:jc w:val="both"/>
        <w:rPr>
          <w:rFonts w:ascii="Arial" w:hAnsi="Arial" w:cs="Arial"/>
        </w:rPr>
      </w:pPr>
    </w:p>
    <w:p w14:paraId="52AD5188" w14:textId="670AE8C1" w:rsidR="00494C7A" w:rsidRPr="00494C7A" w:rsidRDefault="00494C7A" w:rsidP="00494C7A">
      <w:pPr>
        <w:spacing w:after="120"/>
        <w:jc w:val="both"/>
        <w:rPr>
          <w:rFonts w:ascii="Arial" w:hAnsi="Arial" w:cs="Arial"/>
          <w:i/>
          <w:iCs/>
        </w:rPr>
      </w:pPr>
      <w:r w:rsidRPr="00494C7A">
        <w:rPr>
          <w:rFonts w:ascii="Arial" w:hAnsi="Arial" w:cs="Arial"/>
          <w:b/>
          <w:bCs/>
          <w:i/>
          <w:iCs/>
        </w:rPr>
        <w:t>Observation 3</w:t>
      </w:r>
      <w:r w:rsidRPr="00494C7A">
        <w:rPr>
          <w:rFonts w:ascii="Arial" w:hAnsi="Arial" w:cs="Arial"/>
          <w:i/>
          <w:iCs/>
        </w:rPr>
        <w:t xml:space="preserve">: If a UE is capable of supporting non-contiguous configuration in either DL or UL, it </w:t>
      </w:r>
      <w:r w:rsidR="006C6568">
        <w:rPr>
          <w:rFonts w:ascii="Arial" w:hAnsi="Arial" w:cs="Arial"/>
          <w:i/>
          <w:iCs/>
        </w:rPr>
        <w:t>should also be</w:t>
      </w:r>
      <w:r w:rsidRPr="00494C7A">
        <w:rPr>
          <w:rFonts w:ascii="Arial" w:hAnsi="Arial" w:cs="Arial"/>
          <w:i/>
          <w:iCs/>
        </w:rPr>
        <w:t xml:space="preserve"> able to support contiguous configuration in the corresponding DL or UL, but not the other way around.</w:t>
      </w:r>
    </w:p>
    <w:p w14:paraId="368F3F3C" w14:textId="77777777" w:rsidR="00494C7A" w:rsidRDefault="00494C7A" w:rsidP="0073496B">
      <w:pPr>
        <w:spacing w:after="0"/>
        <w:jc w:val="both"/>
        <w:rPr>
          <w:rFonts w:ascii="Arial" w:hAnsi="Arial" w:cs="Arial"/>
        </w:rPr>
      </w:pPr>
    </w:p>
    <w:p w14:paraId="48FCB0C2" w14:textId="7F503388" w:rsidR="00494C7A" w:rsidRDefault="006369D1" w:rsidP="0073496B">
      <w:pPr>
        <w:spacing w:after="0"/>
        <w:jc w:val="both"/>
        <w:rPr>
          <w:rFonts w:ascii="Arial" w:hAnsi="Arial" w:cs="Arial"/>
        </w:rPr>
      </w:pPr>
      <w:r>
        <w:rPr>
          <w:rFonts w:ascii="Arial" w:hAnsi="Arial" w:cs="Arial"/>
        </w:rPr>
        <w:t xml:space="preserve">In summary, with our proposals and clarifications above, the ambiguity of the contiguous or non-contiguous definition issue for intra-band EN-DC combinations can be resolved without RAN4 and RAN2 specifications impact. The only changes required in RAN4 specifications are to move some of the intra-band EN-DC combinations from contiguous EN-DC table to non-contiguous EN-DC table or vice versa, and with a note to clarify that </w:t>
      </w:r>
      <w:r w:rsidR="00677903">
        <w:rPr>
          <w:rFonts w:ascii="Arial" w:hAnsi="Arial" w:cs="Arial"/>
        </w:rPr>
        <w:t>“</w:t>
      </w:r>
      <w:r w:rsidRPr="006369D1">
        <w:rPr>
          <w:rFonts w:ascii="Arial" w:hAnsi="Arial" w:cs="Arial"/>
        </w:rPr>
        <w:t xml:space="preserve">contiguous or non-contiguous is determined by the configuration between the primary cells from each cell </w:t>
      </w:r>
      <w:r w:rsidRPr="00677903">
        <w:rPr>
          <w:rFonts w:ascii="Arial" w:hAnsi="Arial" w:cs="Arial"/>
        </w:rPr>
        <w:t>group</w:t>
      </w:r>
      <w:r w:rsidR="00677903">
        <w:rPr>
          <w:rFonts w:ascii="Arial" w:hAnsi="Arial" w:cs="Arial"/>
        </w:rPr>
        <w:t>” which will be provided in separate CR</w:t>
      </w:r>
      <w:r w:rsidR="00482E40">
        <w:rPr>
          <w:rFonts w:ascii="Arial" w:hAnsi="Arial" w:cs="Arial"/>
        </w:rPr>
        <w:t>s</w:t>
      </w:r>
      <w:r w:rsidR="00677903">
        <w:rPr>
          <w:rFonts w:ascii="Arial" w:hAnsi="Arial" w:cs="Arial"/>
        </w:rPr>
        <w:t xml:space="preserve"> [3</w:t>
      </w:r>
      <w:r w:rsidR="00482E40">
        <w:rPr>
          <w:rFonts w:ascii="Arial" w:hAnsi="Arial" w:cs="Arial"/>
        </w:rPr>
        <w:t>-4</w:t>
      </w:r>
      <w:r w:rsidR="00677903">
        <w:rPr>
          <w:rFonts w:ascii="Arial" w:hAnsi="Arial" w:cs="Arial"/>
        </w:rPr>
        <w:t>] in this meeting.</w:t>
      </w:r>
      <w:r w:rsidRPr="00677903">
        <w:rPr>
          <w:rFonts w:ascii="Arial" w:hAnsi="Arial" w:cs="Arial"/>
        </w:rPr>
        <w:t xml:space="preserve"> </w:t>
      </w:r>
      <w:r>
        <w:rPr>
          <w:rFonts w:ascii="Arial" w:hAnsi="Arial" w:cs="Arial"/>
        </w:rPr>
        <w:t xml:space="preserve">   </w:t>
      </w:r>
      <w:r w:rsidR="00494C7A">
        <w:rPr>
          <w:rFonts w:ascii="Arial" w:hAnsi="Arial" w:cs="Arial"/>
        </w:rPr>
        <w:t xml:space="preserve"> </w:t>
      </w:r>
    </w:p>
    <w:p w14:paraId="079A2B37" w14:textId="3079BAB6" w:rsidR="00F73796" w:rsidRPr="0073496B" w:rsidRDefault="00494C7A" w:rsidP="0073496B">
      <w:pPr>
        <w:spacing w:after="0"/>
        <w:jc w:val="both"/>
        <w:rPr>
          <w:rFonts w:ascii="Arial" w:hAnsi="Arial" w:cs="Arial"/>
        </w:rPr>
      </w:pPr>
      <w:r w:rsidRPr="00494C7A">
        <w:rPr>
          <w:rFonts w:ascii="Arial" w:hAnsi="Arial" w:cs="Arial"/>
        </w:rPr>
        <w:t xml:space="preserve"> </w:t>
      </w:r>
      <w:r>
        <w:rPr>
          <w:rFonts w:ascii="Arial" w:hAnsi="Arial" w:cs="Arial"/>
        </w:rPr>
        <w:t xml:space="preserve"> </w:t>
      </w:r>
      <w:r w:rsidR="003279DD">
        <w:rPr>
          <w:rFonts w:ascii="Arial" w:hAnsi="Arial" w:cs="Arial"/>
        </w:rPr>
        <w:t xml:space="preserve">  </w:t>
      </w:r>
      <w:r w:rsidR="003D65F6">
        <w:rPr>
          <w:rFonts w:ascii="Arial" w:hAnsi="Arial" w:cs="Arial"/>
        </w:rPr>
        <w:t xml:space="preserve"> </w:t>
      </w:r>
      <w:r w:rsidR="005F282D">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4D23446" w14:textId="61308E8C" w:rsidR="006D7B72" w:rsidRDefault="00677903" w:rsidP="00B31A84">
      <w:pPr>
        <w:spacing w:after="120"/>
        <w:jc w:val="both"/>
        <w:rPr>
          <w:rFonts w:ascii="Arial" w:hAnsi="Arial" w:cs="Arial"/>
        </w:rPr>
      </w:pPr>
      <w:r>
        <w:rPr>
          <w:rFonts w:ascii="Arial" w:hAnsi="Arial" w:cs="Arial"/>
        </w:rPr>
        <w:t>I</w:t>
      </w:r>
      <w:r>
        <w:rPr>
          <w:rFonts w:ascii="Arial" w:hAnsi="Arial" w:cs="Arial"/>
          <w:lang w:val="en-US"/>
        </w:rPr>
        <w:t>n this contribution, we share our views on how the intra-band EN-DC contiguous or non-contiguous definition ambiguity issue can be resolved without the need to alter RAN2 signaling design to allow separate signaling for DL and UL intra-band EN-DC configurations.</w:t>
      </w:r>
    </w:p>
    <w:p w14:paraId="4EDC4C2A" w14:textId="77777777" w:rsidR="001C2196" w:rsidRDefault="001C2196" w:rsidP="00886D52">
      <w:pPr>
        <w:spacing w:after="0"/>
        <w:jc w:val="both"/>
        <w:rPr>
          <w:rFonts w:ascii="Arial" w:hAnsi="Arial" w:cs="Arial"/>
        </w:rPr>
      </w:pPr>
    </w:p>
    <w:p w14:paraId="37127386" w14:textId="43618247" w:rsidR="00B31A84" w:rsidRDefault="00677903" w:rsidP="00677903">
      <w:pPr>
        <w:spacing w:after="120"/>
        <w:jc w:val="both"/>
        <w:rPr>
          <w:rFonts w:ascii="Arial" w:hAnsi="Arial" w:cs="Arial"/>
          <w:i/>
          <w:iCs/>
        </w:rPr>
      </w:pPr>
      <w:r w:rsidRPr="003B7668">
        <w:rPr>
          <w:rFonts w:ascii="Arial" w:hAnsi="Arial" w:cs="Arial"/>
          <w:b/>
          <w:bCs/>
          <w:i/>
          <w:iCs/>
        </w:rPr>
        <w:t>Observation 1</w:t>
      </w:r>
      <w:r w:rsidRPr="003B7668">
        <w:rPr>
          <w:rFonts w:ascii="Arial" w:hAnsi="Arial" w:cs="Arial"/>
          <w:i/>
          <w:iCs/>
        </w:rPr>
        <w:t>: Irrespective of how many CCs are configured in each cell group, each cell group should always allow its own configuration to fall back to its primary cell only.</w:t>
      </w:r>
    </w:p>
    <w:p w14:paraId="0ECFADE5" w14:textId="504EE456" w:rsidR="00677903" w:rsidRDefault="00677903" w:rsidP="00B31A84">
      <w:pPr>
        <w:spacing w:after="0"/>
        <w:jc w:val="both"/>
        <w:rPr>
          <w:rFonts w:ascii="Arial" w:hAnsi="Arial" w:cs="Arial"/>
          <w:i/>
          <w:iCs/>
        </w:rPr>
      </w:pPr>
    </w:p>
    <w:p w14:paraId="7D9A8F48" w14:textId="3E7CD6C5" w:rsidR="00677903" w:rsidRDefault="00677903" w:rsidP="00677903">
      <w:pPr>
        <w:spacing w:after="120"/>
        <w:jc w:val="both"/>
        <w:rPr>
          <w:rFonts w:ascii="Arial" w:hAnsi="Arial" w:cs="Arial"/>
          <w:i/>
          <w:iCs/>
        </w:rPr>
      </w:pPr>
      <w:r w:rsidRPr="003B7668">
        <w:rPr>
          <w:rFonts w:ascii="Arial" w:hAnsi="Arial" w:cs="Arial"/>
          <w:b/>
          <w:bCs/>
          <w:i/>
          <w:iCs/>
        </w:rPr>
        <w:t xml:space="preserve">Observation </w:t>
      </w:r>
      <w:r>
        <w:rPr>
          <w:rFonts w:ascii="Arial" w:hAnsi="Arial" w:cs="Arial"/>
          <w:b/>
          <w:bCs/>
          <w:i/>
          <w:iCs/>
        </w:rPr>
        <w:t>2</w:t>
      </w:r>
      <w:r w:rsidRPr="003B7668">
        <w:rPr>
          <w:rFonts w:ascii="Arial" w:hAnsi="Arial" w:cs="Arial"/>
          <w:i/>
          <w:iCs/>
        </w:rPr>
        <w:t xml:space="preserve">: </w:t>
      </w:r>
      <w:r w:rsidRPr="00FB6F29">
        <w:rPr>
          <w:rFonts w:ascii="Arial" w:hAnsi="Arial" w:cs="Arial"/>
          <w:i/>
          <w:iCs/>
        </w:rPr>
        <w:t>RAN2 signalling design for intra-band EN-DC combinations includes LTE DL CA configuration, LTE UL CA configuration, NR DL CA configuration, NR UL CA configuration, and the EN-DC part of the configuration is signalled by the parameter intraBandENDC-support</w:t>
      </w:r>
      <w:r>
        <w:rPr>
          <w:rFonts w:ascii="Arial" w:hAnsi="Arial" w:cs="Arial"/>
          <w:i/>
          <w:iCs/>
        </w:rPr>
        <w:t>.</w:t>
      </w:r>
    </w:p>
    <w:p w14:paraId="56480C19" w14:textId="2504EE54" w:rsidR="00677903" w:rsidRDefault="00677903" w:rsidP="00B31A84">
      <w:pPr>
        <w:spacing w:after="0"/>
        <w:jc w:val="both"/>
        <w:rPr>
          <w:rFonts w:ascii="Arial" w:hAnsi="Arial" w:cs="Arial"/>
          <w:i/>
          <w:iCs/>
        </w:rPr>
      </w:pPr>
    </w:p>
    <w:p w14:paraId="4937DEC9" w14:textId="12903001" w:rsidR="00677903" w:rsidRDefault="00677903" w:rsidP="00677903">
      <w:pPr>
        <w:spacing w:after="120"/>
        <w:jc w:val="both"/>
        <w:rPr>
          <w:rFonts w:ascii="Arial" w:hAnsi="Arial" w:cs="Arial"/>
          <w:i/>
          <w:iCs/>
        </w:rPr>
      </w:pPr>
      <w:r w:rsidRPr="00494C7A">
        <w:rPr>
          <w:rFonts w:ascii="Arial" w:hAnsi="Arial" w:cs="Arial"/>
          <w:b/>
          <w:bCs/>
          <w:i/>
          <w:iCs/>
        </w:rPr>
        <w:t>Observation 3</w:t>
      </w:r>
      <w:r w:rsidRPr="00494C7A">
        <w:rPr>
          <w:rFonts w:ascii="Arial" w:hAnsi="Arial" w:cs="Arial"/>
          <w:i/>
          <w:iCs/>
        </w:rPr>
        <w:t xml:space="preserve">: If a UE is capable of supporting non-contiguous configuration in either DL or UL, it </w:t>
      </w:r>
      <w:r w:rsidR="006C6568">
        <w:rPr>
          <w:rFonts w:ascii="Arial" w:hAnsi="Arial" w:cs="Arial"/>
          <w:i/>
          <w:iCs/>
        </w:rPr>
        <w:t>should also be</w:t>
      </w:r>
      <w:r w:rsidRPr="00494C7A">
        <w:rPr>
          <w:rFonts w:ascii="Arial" w:hAnsi="Arial" w:cs="Arial"/>
          <w:i/>
          <w:iCs/>
        </w:rPr>
        <w:t xml:space="preserve"> able to support contiguous configuration in the corresponding DL or UL, but not the other way around.</w:t>
      </w:r>
    </w:p>
    <w:p w14:paraId="6F3A785D" w14:textId="31286AFE" w:rsidR="00677903" w:rsidRDefault="00677903" w:rsidP="00677903">
      <w:pPr>
        <w:spacing w:after="0"/>
        <w:jc w:val="both"/>
        <w:rPr>
          <w:rFonts w:ascii="Arial" w:hAnsi="Arial" w:cs="Arial"/>
          <w:i/>
          <w:iCs/>
        </w:rPr>
      </w:pPr>
    </w:p>
    <w:p w14:paraId="42224B30" w14:textId="77777777" w:rsidR="00677903" w:rsidRPr="003B7668" w:rsidRDefault="00677903" w:rsidP="00677903">
      <w:pPr>
        <w:spacing w:after="120"/>
        <w:jc w:val="both"/>
        <w:rPr>
          <w:rFonts w:ascii="Arial" w:hAnsi="Arial" w:cs="Arial"/>
          <w:i/>
          <w:iCs/>
        </w:rPr>
      </w:pPr>
      <w:r w:rsidRPr="003B7668">
        <w:rPr>
          <w:rFonts w:ascii="Arial" w:hAnsi="Arial" w:cs="Arial"/>
          <w:b/>
          <w:bCs/>
          <w:i/>
          <w:iCs/>
        </w:rPr>
        <w:t>Proposal 1</w:t>
      </w:r>
      <w:r w:rsidRPr="003B7668">
        <w:rPr>
          <w:rFonts w:ascii="Arial" w:hAnsi="Arial" w:cs="Arial"/>
          <w:i/>
          <w:iCs/>
        </w:rPr>
        <w:t xml:space="preserve">: For intra-band EN-DC, contiguous or non-contiguous is determined by the configuration between the primary cells from each cell group. </w:t>
      </w:r>
    </w:p>
    <w:p w14:paraId="769D58A1" w14:textId="7CDC8AE3" w:rsidR="00677903" w:rsidRDefault="00677903" w:rsidP="00677903">
      <w:pPr>
        <w:spacing w:after="0"/>
        <w:jc w:val="both"/>
        <w:rPr>
          <w:rFonts w:ascii="Arial" w:hAnsi="Arial" w:cs="Arial"/>
        </w:rPr>
      </w:pPr>
    </w:p>
    <w:p w14:paraId="437926ED" w14:textId="77777777" w:rsidR="00677903" w:rsidRPr="000E734D" w:rsidRDefault="00677903" w:rsidP="00677903">
      <w:pPr>
        <w:spacing w:after="120"/>
        <w:jc w:val="both"/>
        <w:rPr>
          <w:rFonts w:ascii="Arial" w:hAnsi="Arial" w:cs="Arial"/>
        </w:rPr>
      </w:pPr>
      <w:r w:rsidRPr="003B7668">
        <w:rPr>
          <w:rFonts w:ascii="Arial" w:hAnsi="Arial" w:cs="Arial"/>
          <w:b/>
          <w:bCs/>
          <w:i/>
          <w:iCs/>
        </w:rPr>
        <w:t xml:space="preserve">Proposal </w:t>
      </w:r>
      <w:r>
        <w:rPr>
          <w:rFonts w:ascii="Arial" w:hAnsi="Arial" w:cs="Arial"/>
          <w:b/>
          <w:bCs/>
          <w:i/>
          <w:iCs/>
        </w:rPr>
        <w:t>2</w:t>
      </w:r>
      <w:r w:rsidRPr="003B7668">
        <w:rPr>
          <w:rFonts w:ascii="Arial" w:hAnsi="Arial" w:cs="Arial"/>
          <w:i/>
          <w:iCs/>
        </w:rPr>
        <w:t xml:space="preserve">: </w:t>
      </w:r>
      <w:r>
        <w:rPr>
          <w:rFonts w:ascii="Arial" w:hAnsi="Arial" w:cs="Arial"/>
          <w:i/>
          <w:iCs/>
        </w:rPr>
        <w:t>O</w:t>
      </w:r>
      <w:r w:rsidRPr="00B65A8F">
        <w:rPr>
          <w:rFonts w:ascii="Arial" w:hAnsi="Arial" w:cs="Arial"/>
          <w:i/>
          <w:iCs/>
        </w:rPr>
        <w:t>nly the configuration between LTE and NR sub-blocks are relevant to the contiguous or non-contiguous definition of the intra-band EN-DC combinations.</w:t>
      </w:r>
      <w:r>
        <w:rPr>
          <w:rFonts w:ascii="Arial" w:hAnsi="Arial" w:cs="Arial"/>
        </w:rPr>
        <w:t xml:space="preserve">   </w:t>
      </w:r>
      <w:r w:rsidRPr="000E734D">
        <w:rPr>
          <w:rFonts w:ascii="Arial" w:hAnsi="Arial" w:cs="Arial"/>
        </w:rPr>
        <w:t xml:space="preserve">  </w:t>
      </w:r>
    </w:p>
    <w:p w14:paraId="33C9100A" w14:textId="1AAB12F3" w:rsidR="00677903" w:rsidRDefault="00677903" w:rsidP="00677903">
      <w:pPr>
        <w:spacing w:after="0"/>
        <w:jc w:val="both"/>
        <w:rPr>
          <w:rFonts w:ascii="Arial" w:hAnsi="Arial" w:cs="Arial"/>
        </w:rPr>
      </w:pPr>
    </w:p>
    <w:p w14:paraId="3002B398" w14:textId="7B381B21" w:rsidR="00677903" w:rsidRPr="00B31A84" w:rsidRDefault="00677903" w:rsidP="00677903">
      <w:pPr>
        <w:spacing w:after="120"/>
        <w:jc w:val="both"/>
        <w:rPr>
          <w:rFonts w:ascii="Arial" w:hAnsi="Arial" w:cs="Arial"/>
        </w:rPr>
      </w:pPr>
      <w:r w:rsidRPr="003279DD">
        <w:rPr>
          <w:rFonts w:ascii="Arial" w:hAnsi="Arial" w:cs="Arial"/>
          <w:b/>
          <w:bCs/>
          <w:i/>
          <w:iCs/>
        </w:rPr>
        <w:t>Proposal 3</w:t>
      </w:r>
      <w:r w:rsidRPr="003279DD">
        <w:rPr>
          <w:rFonts w:ascii="Arial" w:hAnsi="Arial" w:cs="Arial"/>
          <w:i/>
          <w:iCs/>
        </w:rPr>
        <w:t>: The existing RAN2 signalling design is sufficient to indicate UE’s support for different intra-band EN-DC configurations. There is no need to introduce new signalling to differentiate intra-band DL and UL EN-DC configurations separately.</w:t>
      </w: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49256404" w14:textId="0FD5DC11" w:rsidR="00482E40" w:rsidRDefault="00482E40" w:rsidP="008F626A">
      <w:pPr>
        <w:pStyle w:val="EX"/>
        <w:jc w:val="both"/>
        <w:rPr>
          <w:rFonts w:ascii="Arial" w:hAnsi="Arial" w:cs="Arial"/>
        </w:rPr>
      </w:pPr>
      <w:r>
        <w:rPr>
          <w:rFonts w:ascii="Arial" w:hAnsi="Arial" w:cs="Arial"/>
        </w:rPr>
        <w:t>TS 38.101-3 V16.7.0 (2021-03)</w:t>
      </w:r>
    </w:p>
    <w:p w14:paraId="17919B1A" w14:textId="3D317EAB" w:rsidR="008F626A" w:rsidRDefault="00FA0FE9" w:rsidP="008F626A">
      <w:pPr>
        <w:pStyle w:val="EX"/>
        <w:jc w:val="both"/>
        <w:rPr>
          <w:rFonts w:ascii="Arial" w:hAnsi="Arial" w:cs="Arial"/>
        </w:rPr>
      </w:pPr>
      <w:r>
        <w:rPr>
          <w:rFonts w:ascii="Arial" w:hAnsi="Arial" w:cs="Arial"/>
        </w:rPr>
        <w:t>R4-</w:t>
      </w:r>
      <w:r w:rsidR="00DF0098">
        <w:rPr>
          <w:rFonts w:ascii="Arial" w:hAnsi="Arial" w:cs="Arial"/>
        </w:rPr>
        <w:t>210</w:t>
      </w:r>
      <w:r w:rsidR="00482E40">
        <w:rPr>
          <w:rFonts w:ascii="Arial" w:hAnsi="Arial" w:cs="Arial"/>
        </w:rPr>
        <w:t>3130</w:t>
      </w:r>
      <w:r w:rsidR="00DF0098">
        <w:rPr>
          <w:rFonts w:ascii="Arial" w:hAnsi="Arial" w:cs="Arial"/>
        </w:rPr>
        <w:t xml:space="preserve"> “</w:t>
      </w:r>
      <w:r w:rsidR="00482E40" w:rsidRPr="00482E40">
        <w:rPr>
          <w:rFonts w:ascii="Arial" w:hAnsi="Arial" w:cs="Arial"/>
        </w:rPr>
        <w:t>WF on UE capability on intraBandENDC-Support</w:t>
      </w:r>
      <w:r w:rsidR="00482E40">
        <w:rPr>
          <w:rFonts w:ascii="Arial" w:hAnsi="Arial" w:cs="Arial"/>
        </w:rPr>
        <w:t xml:space="preserve">”, </w:t>
      </w:r>
      <w:r w:rsidR="00450387" w:rsidRPr="00450387">
        <w:rPr>
          <w:rFonts w:ascii="Arial" w:hAnsi="Arial" w:cs="Arial"/>
        </w:rPr>
        <w:t>Huawei, HiSilicon</w:t>
      </w:r>
      <w:r w:rsidR="00DF0098">
        <w:rPr>
          <w:rFonts w:ascii="Arial" w:hAnsi="Arial" w:cs="Arial"/>
        </w:rPr>
        <w:t>, 3GPP TSG-RAN WG4 Meeting #98-e, January 25</w:t>
      </w:r>
      <w:r w:rsidR="00DF0098" w:rsidRPr="00DF0098">
        <w:rPr>
          <w:rFonts w:ascii="Arial" w:hAnsi="Arial" w:cs="Arial"/>
          <w:vertAlign w:val="superscript"/>
        </w:rPr>
        <w:t>th</w:t>
      </w:r>
      <w:r w:rsidR="00DF0098">
        <w:rPr>
          <w:rFonts w:ascii="Arial" w:hAnsi="Arial" w:cs="Arial"/>
        </w:rPr>
        <w:t xml:space="preserve"> – February 05</w:t>
      </w:r>
      <w:r w:rsidR="00DF0098" w:rsidRPr="00DF0098">
        <w:rPr>
          <w:rFonts w:ascii="Arial" w:hAnsi="Arial" w:cs="Arial"/>
          <w:vertAlign w:val="superscript"/>
        </w:rPr>
        <w:t>th</w:t>
      </w:r>
      <w:r w:rsidR="00DF0098">
        <w:rPr>
          <w:rFonts w:ascii="Arial" w:hAnsi="Arial" w:cs="Arial"/>
        </w:rPr>
        <w:t>, 2021</w:t>
      </w:r>
    </w:p>
    <w:p w14:paraId="06665867" w14:textId="1EBB3452" w:rsidR="00450387" w:rsidRDefault="00450387" w:rsidP="00482E40">
      <w:pPr>
        <w:pStyle w:val="EX"/>
        <w:jc w:val="both"/>
        <w:rPr>
          <w:rFonts w:ascii="Arial" w:hAnsi="Arial" w:cs="Arial"/>
        </w:rPr>
      </w:pPr>
      <w:r w:rsidRPr="00450387">
        <w:rPr>
          <w:rFonts w:ascii="Arial" w:hAnsi="Arial" w:cs="Arial"/>
        </w:rPr>
        <w:t>R4-21</w:t>
      </w:r>
      <w:r w:rsidR="00844224">
        <w:rPr>
          <w:rFonts w:ascii="Arial" w:hAnsi="Arial" w:cs="Arial"/>
        </w:rPr>
        <w:t>10155</w:t>
      </w:r>
      <w:r>
        <w:rPr>
          <w:rFonts w:ascii="Arial" w:hAnsi="Arial" w:cs="Arial"/>
        </w:rPr>
        <w:t xml:space="preserve"> “</w:t>
      </w:r>
      <w:r w:rsidR="00482E40" w:rsidRPr="00482E40">
        <w:rPr>
          <w:rFonts w:ascii="Arial" w:hAnsi="Arial" w:cs="Arial"/>
        </w:rPr>
        <w:t>CR for TS 38.101-3: Corrections for intra-band</w:t>
      </w:r>
      <w:r w:rsidR="00482E40">
        <w:rPr>
          <w:rFonts w:ascii="Arial" w:hAnsi="Arial" w:cs="Arial"/>
        </w:rPr>
        <w:t xml:space="preserve"> </w:t>
      </w:r>
      <w:r w:rsidR="00482E40" w:rsidRPr="00482E40">
        <w:rPr>
          <w:rFonts w:ascii="Arial" w:hAnsi="Arial" w:cs="Arial"/>
        </w:rPr>
        <w:t>EN-DC configurations</w:t>
      </w:r>
      <w:r w:rsidR="00482E40">
        <w:rPr>
          <w:rFonts w:ascii="Arial" w:hAnsi="Arial" w:cs="Arial"/>
        </w:rPr>
        <w:t xml:space="preserve"> Rel-15</w:t>
      </w:r>
      <w:r>
        <w:rPr>
          <w:rFonts w:ascii="Arial" w:hAnsi="Arial" w:cs="Arial"/>
        </w:rPr>
        <w:t xml:space="preserve">”, </w:t>
      </w:r>
      <w:r w:rsidR="00482E40">
        <w:rPr>
          <w:rFonts w:ascii="Arial" w:hAnsi="Arial" w:cs="Arial"/>
        </w:rPr>
        <w:t>Apple</w:t>
      </w:r>
      <w:r>
        <w:rPr>
          <w:rFonts w:ascii="Arial" w:hAnsi="Arial" w:cs="Arial"/>
        </w:rPr>
        <w:t>, 3GPP TSG-RAN WG4 Meeting #9</w:t>
      </w:r>
      <w:r w:rsidR="00482E40">
        <w:rPr>
          <w:rFonts w:ascii="Arial" w:hAnsi="Arial" w:cs="Arial"/>
        </w:rPr>
        <w:t>9</w:t>
      </w:r>
      <w:r>
        <w:rPr>
          <w:rFonts w:ascii="Arial" w:hAnsi="Arial" w:cs="Arial"/>
        </w:rPr>
        <w:t xml:space="preserve">-e, </w:t>
      </w:r>
      <w:r w:rsidR="00482E40">
        <w:rPr>
          <w:rFonts w:ascii="Arial" w:hAnsi="Arial" w:cs="Arial"/>
        </w:rPr>
        <w:t>May</w:t>
      </w:r>
      <w:r>
        <w:rPr>
          <w:rFonts w:ascii="Arial" w:hAnsi="Arial" w:cs="Arial"/>
        </w:rPr>
        <w:t xml:space="preserve"> 1</w:t>
      </w:r>
      <w:r w:rsidR="00482E40">
        <w:rPr>
          <w:rFonts w:ascii="Arial" w:hAnsi="Arial" w:cs="Arial"/>
        </w:rPr>
        <w:t>9</w:t>
      </w:r>
      <w:r w:rsidRPr="00450387">
        <w:rPr>
          <w:rFonts w:ascii="Arial" w:hAnsi="Arial" w:cs="Arial"/>
          <w:vertAlign w:val="superscript"/>
        </w:rPr>
        <w:t>th</w:t>
      </w:r>
      <w:r>
        <w:rPr>
          <w:rFonts w:ascii="Arial" w:hAnsi="Arial" w:cs="Arial"/>
        </w:rPr>
        <w:t xml:space="preserve"> – 2</w:t>
      </w:r>
      <w:r w:rsidR="00482E40">
        <w:rPr>
          <w:rFonts w:ascii="Arial" w:hAnsi="Arial" w:cs="Arial"/>
        </w:rPr>
        <w:t>7</w:t>
      </w:r>
      <w:r w:rsidRPr="00450387">
        <w:rPr>
          <w:rFonts w:ascii="Arial" w:hAnsi="Arial" w:cs="Arial"/>
          <w:vertAlign w:val="superscript"/>
        </w:rPr>
        <w:t>th</w:t>
      </w:r>
      <w:r>
        <w:rPr>
          <w:rFonts w:ascii="Arial" w:hAnsi="Arial" w:cs="Arial"/>
        </w:rPr>
        <w:t>, 2021</w:t>
      </w:r>
    </w:p>
    <w:p w14:paraId="7B49E33D" w14:textId="3324FC77" w:rsidR="00482E40" w:rsidRPr="00482E40" w:rsidRDefault="00482E40" w:rsidP="00482E40">
      <w:pPr>
        <w:pStyle w:val="EX"/>
        <w:jc w:val="both"/>
        <w:rPr>
          <w:rFonts w:ascii="Arial" w:hAnsi="Arial" w:cs="Arial"/>
        </w:rPr>
      </w:pPr>
      <w:r w:rsidRPr="00450387">
        <w:rPr>
          <w:rFonts w:ascii="Arial" w:hAnsi="Arial" w:cs="Arial"/>
        </w:rPr>
        <w:lastRenderedPageBreak/>
        <w:t>R4-21</w:t>
      </w:r>
      <w:r w:rsidR="00844224">
        <w:rPr>
          <w:rFonts w:ascii="Arial" w:hAnsi="Arial" w:cs="Arial"/>
        </w:rPr>
        <w:t>10156</w:t>
      </w:r>
      <w:r>
        <w:rPr>
          <w:rFonts w:ascii="Arial" w:hAnsi="Arial" w:cs="Arial"/>
        </w:rPr>
        <w:t xml:space="preserve"> “</w:t>
      </w:r>
      <w:r w:rsidRPr="00482E40">
        <w:rPr>
          <w:rFonts w:ascii="Arial" w:hAnsi="Arial" w:cs="Arial"/>
        </w:rPr>
        <w:t>CR for TS 38.101-3: Corrections for intra-band</w:t>
      </w:r>
      <w:r>
        <w:rPr>
          <w:rFonts w:ascii="Arial" w:hAnsi="Arial" w:cs="Arial"/>
        </w:rPr>
        <w:t xml:space="preserve"> </w:t>
      </w:r>
      <w:r w:rsidRPr="00482E40">
        <w:rPr>
          <w:rFonts w:ascii="Arial" w:hAnsi="Arial" w:cs="Arial"/>
        </w:rPr>
        <w:t>EN-DC configurations</w:t>
      </w:r>
      <w:r>
        <w:rPr>
          <w:rFonts w:ascii="Arial" w:hAnsi="Arial" w:cs="Arial"/>
        </w:rPr>
        <w:t xml:space="preserve"> Rel-16”, Apple, 3GPP TSG-RAN WG4 Meeting #99-e, May 19</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sectPr w:rsidR="00482E40" w:rsidRPr="00482E4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15691" w14:textId="77777777" w:rsidR="00061611" w:rsidRDefault="00061611">
      <w:r>
        <w:separator/>
      </w:r>
    </w:p>
  </w:endnote>
  <w:endnote w:type="continuationSeparator" w:id="0">
    <w:p w14:paraId="1327DC46" w14:textId="77777777" w:rsidR="00061611" w:rsidRDefault="0006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20E69" w14:textId="77777777" w:rsidR="00061611" w:rsidRDefault="00061611">
      <w:r>
        <w:separator/>
      </w:r>
    </w:p>
  </w:footnote>
  <w:footnote w:type="continuationSeparator" w:id="0">
    <w:p w14:paraId="07E71EF5" w14:textId="77777777" w:rsidR="00061611" w:rsidRDefault="0006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46B2E"/>
    <w:multiLevelType w:val="hybridMultilevel"/>
    <w:tmpl w:val="D7485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F480A64"/>
    <w:multiLevelType w:val="hybridMultilevel"/>
    <w:tmpl w:val="7DDE2AEE"/>
    <w:lvl w:ilvl="0" w:tplc="70E8E84C">
      <w:start w:val="1"/>
      <w:numFmt w:val="bullet"/>
      <w:lvlText w:val="•"/>
      <w:lvlJc w:val="left"/>
      <w:pPr>
        <w:tabs>
          <w:tab w:val="num" w:pos="720"/>
        </w:tabs>
        <w:ind w:left="720" w:hanging="360"/>
      </w:pPr>
      <w:rPr>
        <w:rFonts w:ascii="Arial" w:hAnsi="Arial" w:hint="default"/>
      </w:rPr>
    </w:lvl>
    <w:lvl w:ilvl="1" w:tplc="3356C7C0" w:tentative="1">
      <w:start w:val="1"/>
      <w:numFmt w:val="bullet"/>
      <w:lvlText w:val="•"/>
      <w:lvlJc w:val="left"/>
      <w:pPr>
        <w:tabs>
          <w:tab w:val="num" w:pos="1440"/>
        </w:tabs>
        <w:ind w:left="1440" w:hanging="360"/>
      </w:pPr>
      <w:rPr>
        <w:rFonts w:ascii="Arial" w:hAnsi="Arial" w:hint="default"/>
      </w:rPr>
    </w:lvl>
    <w:lvl w:ilvl="2" w:tplc="B26C70F6" w:tentative="1">
      <w:start w:val="1"/>
      <w:numFmt w:val="bullet"/>
      <w:lvlText w:val="•"/>
      <w:lvlJc w:val="left"/>
      <w:pPr>
        <w:tabs>
          <w:tab w:val="num" w:pos="2160"/>
        </w:tabs>
        <w:ind w:left="2160" w:hanging="360"/>
      </w:pPr>
      <w:rPr>
        <w:rFonts w:ascii="Arial" w:hAnsi="Arial" w:hint="default"/>
      </w:rPr>
    </w:lvl>
    <w:lvl w:ilvl="3" w:tplc="01C685E6" w:tentative="1">
      <w:start w:val="1"/>
      <w:numFmt w:val="bullet"/>
      <w:lvlText w:val="•"/>
      <w:lvlJc w:val="left"/>
      <w:pPr>
        <w:tabs>
          <w:tab w:val="num" w:pos="2880"/>
        </w:tabs>
        <w:ind w:left="2880" w:hanging="360"/>
      </w:pPr>
      <w:rPr>
        <w:rFonts w:ascii="Arial" w:hAnsi="Arial" w:hint="default"/>
      </w:rPr>
    </w:lvl>
    <w:lvl w:ilvl="4" w:tplc="2B3AB4B6" w:tentative="1">
      <w:start w:val="1"/>
      <w:numFmt w:val="bullet"/>
      <w:lvlText w:val="•"/>
      <w:lvlJc w:val="left"/>
      <w:pPr>
        <w:tabs>
          <w:tab w:val="num" w:pos="3600"/>
        </w:tabs>
        <w:ind w:left="3600" w:hanging="360"/>
      </w:pPr>
      <w:rPr>
        <w:rFonts w:ascii="Arial" w:hAnsi="Arial" w:hint="default"/>
      </w:rPr>
    </w:lvl>
    <w:lvl w:ilvl="5" w:tplc="27C04396" w:tentative="1">
      <w:start w:val="1"/>
      <w:numFmt w:val="bullet"/>
      <w:lvlText w:val="•"/>
      <w:lvlJc w:val="left"/>
      <w:pPr>
        <w:tabs>
          <w:tab w:val="num" w:pos="4320"/>
        </w:tabs>
        <w:ind w:left="4320" w:hanging="360"/>
      </w:pPr>
      <w:rPr>
        <w:rFonts w:ascii="Arial" w:hAnsi="Arial" w:hint="default"/>
      </w:rPr>
    </w:lvl>
    <w:lvl w:ilvl="6" w:tplc="54907844" w:tentative="1">
      <w:start w:val="1"/>
      <w:numFmt w:val="bullet"/>
      <w:lvlText w:val="•"/>
      <w:lvlJc w:val="left"/>
      <w:pPr>
        <w:tabs>
          <w:tab w:val="num" w:pos="5040"/>
        </w:tabs>
        <w:ind w:left="5040" w:hanging="360"/>
      </w:pPr>
      <w:rPr>
        <w:rFonts w:ascii="Arial" w:hAnsi="Arial" w:hint="default"/>
      </w:rPr>
    </w:lvl>
    <w:lvl w:ilvl="7" w:tplc="583697C6" w:tentative="1">
      <w:start w:val="1"/>
      <w:numFmt w:val="bullet"/>
      <w:lvlText w:val="•"/>
      <w:lvlJc w:val="left"/>
      <w:pPr>
        <w:tabs>
          <w:tab w:val="num" w:pos="5760"/>
        </w:tabs>
        <w:ind w:left="5760" w:hanging="360"/>
      </w:pPr>
      <w:rPr>
        <w:rFonts w:ascii="Arial" w:hAnsi="Arial" w:hint="default"/>
      </w:rPr>
    </w:lvl>
    <w:lvl w:ilvl="8" w:tplc="1B2009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8357B1"/>
    <w:multiLevelType w:val="hybridMultilevel"/>
    <w:tmpl w:val="C66A5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5"/>
  </w:num>
  <w:num w:numId="13">
    <w:abstractNumId w:val="7"/>
  </w:num>
  <w:num w:numId="14">
    <w:abstractNumId w:val="12"/>
  </w:num>
  <w:num w:numId="15">
    <w:abstractNumId w:val="3"/>
  </w:num>
  <w:num w:numId="16">
    <w:abstractNumId w:val="10"/>
  </w:num>
  <w:num w:numId="17">
    <w:abstractNumId w:val="13"/>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3EB7"/>
    <w:rsid w:val="00051834"/>
    <w:rsid w:val="00054529"/>
    <w:rsid w:val="00054A22"/>
    <w:rsid w:val="00061611"/>
    <w:rsid w:val="00062023"/>
    <w:rsid w:val="000655A6"/>
    <w:rsid w:val="0006704A"/>
    <w:rsid w:val="00076A10"/>
    <w:rsid w:val="00080512"/>
    <w:rsid w:val="00087D0D"/>
    <w:rsid w:val="00092E3F"/>
    <w:rsid w:val="000A03E0"/>
    <w:rsid w:val="000A0C3B"/>
    <w:rsid w:val="000A365D"/>
    <w:rsid w:val="000A68F3"/>
    <w:rsid w:val="000B61FB"/>
    <w:rsid w:val="000C47C3"/>
    <w:rsid w:val="000D3F36"/>
    <w:rsid w:val="000D58AB"/>
    <w:rsid w:val="000E1A37"/>
    <w:rsid w:val="000E3DD4"/>
    <w:rsid w:val="000E5C81"/>
    <w:rsid w:val="000E734D"/>
    <w:rsid w:val="00102459"/>
    <w:rsid w:val="00104BC6"/>
    <w:rsid w:val="00114E2C"/>
    <w:rsid w:val="00121103"/>
    <w:rsid w:val="00133525"/>
    <w:rsid w:val="001604D6"/>
    <w:rsid w:val="0016611C"/>
    <w:rsid w:val="00166B5C"/>
    <w:rsid w:val="00181118"/>
    <w:rsid w:val="001841B1"/>
    <w:rsid w:val="001A286D"/>
    <w:rsid w:val="001A410D"/>
    <w:rsid w:val="001A4C42"/>
    <w:rsid w:val="001C2196"/>
    <w:rsid w:val="001C21C3"/>
    <w:rsid w:val="001C56BD"/>
    <w:rsid w:val="001D02C2"/>
    <w:rsid w:val="001D1470"/>
    <w:rsid w:val="001F0C1D"/>
    <w:rsid w:val="001F1132"/>
    <w:rsid w:val="001F168B"/>
    <w:rsid w:val="001F3B78"/>
    <w:rsid w:val="00204648"/>
    <w:rsid w:val="002242B0"/>
    <w:rsid w:val="00225153"/>
    <w:rsid w:val="002314C2"/>
    <w:rsid w:val="002347A2"/>
    <w:rsid w:val="002450A4"/>
    <w:rsid w:val="00247926"/>
    <w:rsid w:val="00251170"/>
    <w:rsid w:val="00252C9C"/>
    <w:rsid w:val="00261B7C"/>
    <w:rsid w:val="0026424E"/>
    <w:rsid w:val="002675F0"/>
    <w:rsid w:val="00276EE4"/>
    <w:rsid w:val="00286E79"/>
    <w:rsid w:val="002A2A03"/>
    <w:rsid w:val="002B6339"/>
    <w:rsid w:val="002D61E3"/>
    <w:rsid w:val="002E00EE"/>
    <w:rsid w:val="002E3933"/>
    <w:rsid w:val="00301BA3"/>
    <w:rsid w:val="00304174"/>
    <w:rsid w:val="00314533"/>
    <w:rsid w:val="003172DC"/>
    <w:rsid w:val="003279DD"/>
    <w:rsid w:val="0034052F"/>
    <w:rsid w:val="00342AC6"/>
    <w:rsid w:val="003531D5"/>
    <w:rsid w:val="00353AFA"/>
    <w:rsid w:val="0035462D"/>
    <w:rsid w:val="00370CDE"/>
    <w:rsid w:val="003765B8"/>
    <w:rsid w:val="003772E9"/>
    <w:rsid w:val="003926D8"/>
    <w:rsid w:val="00395678"/>
    <w:rsid w:val="00396C5D"/>
    <w:rsid w:val="003A0483"/>
    <w:rsid w:val="003B56B1"/>
    <w:rsid w:val="003B7668"/>
    <w:rsid w:val="003C3971"/>
    <w:rsid w:val="003C6A8C"/>
    <w:rsid w:val="003D38D9"/>
    <w:rsid w:val="003D65F6"/>
    <w:rsid w:val="003E7753"/>
    <w:rsid w:val="003F0C6B"/>
    <w:rsid w:val="003F15CD"/>
    <w:rsid w:val="003F6ACE"/>
    <w:rsid w:val="00403E33"/>
    <w:rsid w:val="0041733B"/>
    <w:rsid w:val="00423334"/>
    <w:rsid w:val="00423521"/>
    <w:rsid w:val="00432F60"/>
    <w:rsid w:val="004345EC"/>
    <w:rsid w:val="00434AD6"/>
    <w:rsid w:val="00445B44"/>
    <w:rsid w:val="00450387"/>
    <w:rsid w:val="00463240"/>
    <w:rsid w:val="004728B7"/>
    <w:rsid w:val="0047564A"/>
    <w:rsid w:val="00475AC6"/>
    <w:rsid w:val="004768DA"/>
    <w:rsid w:val="00476DFF"/>
    <w:rsid w:val="004819D5"/>
    <w:rsid w:val="004826A9"/>
    <w:rsid w:val="00482E40"/>
    <w:rsid w:val="00494C7A"/>
    <w:rsid w:val="004A5DB3"/>
    <w:rsid w:val="004A5F6D"/>
    <w:rsid w:val="004A69CF"/>
    <w:rsid w:val="004B52BA"/>
    <w:rsid w:val="004B5C7F"/>
    <w:rsid w:val="004C15E6"/>
    <w:rsid w:val="004C1601"/>
    <w:rsid w:val="004D3578"/>
    <w:rsid w:val="004D5ADE"/>
    <w:rsid w:val="004D71B0"/>
    <w:rsid w:val="004E213A"/>
    <w:rsid w:val="004E4369"/>
    <w:rsid w:val="004F0988"/>
    <w:rsid w:val="004F1C3B"/>
    <w:rsid w:val="004F3340"/>
    <w:rsid w:val="004F3E3D"/>
    <w:rsid w:val="004F7DEF"/>
    <w:rsid w:val="005023B7"/>
    <w:rsid w:val="00503094"/>
    <w:rsid w:val="00507C83"/>
    <w:rsid w:val="0051025D"/>
    <w:rsid w:val="00522548"/>
    <w:rsid w:val="00523D73"/>
    <w:rsid w:val="0052518A"/>
    <w:rsid w:val="0053388B"/>
    <w:rsid w:val="00534BE5"/>
    <w:rsid w:val="00535773"/>
    <w:rsid w:val="00543E6C"/>
    <w:rsid w:val="0054772A"/>
    <w:rsid w:val="005515E7"/>
    <w:rsid w:val="0055182E"/>
    <w:rsid w:val="005613DC"/>
    <w:rsid w:val="005637A5"/>
    <w:rsid w:val="00565087"/>
    <w:rsid w:val="005724C4"/>
    <w:rsid w:val="00572E14"/>
    <w:rsid w:val="00594F57"/>
    <w:rsid w:val="005973BE"/>
    <w:rsid w:val="005A0CAB"/>
    <w:rsid w:val="005A0DD1"/>
    <w:rsid w:val="005A5605"/>
    <w:rsid w:val="005A5986"/>
    <w:rsid w:val="005A656C"/>
    <w:rsid w:val="005D2E01"/>
    <w:rsid w:val="005D7526"/>
    <w:rsid w:val="005E69AE"/>
    <w:rsid w:val="005F282D"/>
    <w:rsid w:val="006025FF"/>
    <w:rsid w:val="00602AEA"/>
    <w:rsid w:val="006054D7"/>
    <w:rsid w:val="006073EA"/>
    <w:rsid w:val="00607E3C"/>
    <w:rsid w:val="00611256"/>
    <w:rsid w:val="00614FDF"/>
    <w:rsid w:val="00617BD2"/>
    <w:rsid w:val="00624566"/>
    <w:rsid w:val="006246A7"/>
    <w:rsid w:val="00625205"/>
    <w:rsid w:val="0062595A"/>
    <w:rsid w:val="0063543D"/>
    <w:rsid w:val="006369D1"/>
    <w:rsid w:val="00647114"/>
    <w:rsid w:val="006528E0"/>
    <w:rsid w:val="00654C4D"/>
    <w:rsid w:val="00662106"/>
    <w:rsid w:val="00677903"/>
    <w:rsid w:val="006A2C3D"/>
    <w:rsid w:val="006A323F"/>
    <w:rsid w:val="006A7137"/>
    <w:rsid w:val="006A754B"/>
    <w:rsid w:val="006B30D0"/>
    <w:rsid w:val="006C228A"/>
    <w:rsid w:val="006C3D95"/>
    <w:rsid w:val="006C6568"/>
    <w:rsid w:val="006D14CE"/>
    <w:rsid w:val="006D7B72"/>
    <w:rsid w:val="006E5C86"/>
    <w:rsid w:val="007035F0"/>
    <w:rsid w:val="0070556D"/>
    <w:rsid w:val="007123E6"/>
    <w:rsid w:val="00713C44"/>
    <w:rsid w:val="0073496B"/>
    <w:rsid w:val="00734A5B"/>
    <w:rsid w:val="0074026F"/>
    <w:rsid w:val="007429F6"/>
    <w:rsid w:val="00744E76"/>
    <w:rsid w:val="00752198"/>
    <w:rsid w:val="00753881"/>
    <w:rsid w:val="00754854"/>
    <w:rsid w:val="007551EB"/>
    <w:rsid w:val="00755F93"/>
    <w:rsid w:val="00772FB5"/>
    <w:rsid w:val="00774DA4"/>
    <w:rsid w:val="00781F0F"/>
    <w:rsid w:val="007B22B1"/>
    <w:rsid w:val="007B600E"/>
    <w:rsid w:val="007E5AE9"/>
    <w:rsid w:val="007E69E1"/>
    <w:rsid w:val="007F0F4A"/>
    <w:rsid w:val="008028A4"/>
    <w:rsid w:val="00820B25"/>
    <w:rsid w:val="00830747"/>
    <w:rsid w:val="00844224"/>
    <w:rsid w:val="00857DED"/>
    <w:rsid w:val="008768CA"/>
    <w:rsid w:val="00886D52"/>
    <w:rsid w:val="0089062C"/>
    <w:rsid w:val="008A3527"/>
    <w:rsid w:val="008A5F18"/>
    <w:rsid w:val="008A645A"/>
    <w:rsid w:val="008B5275"/>
    <w:rsid w:val="008B58D4"/>
    <w:rsid w:val="008C384C"/>
    <w:rsid w:val="008C48CC"/>
    <w:rsid w:val="008C494B"/>
    <w:rsid w:val="008C74C8"/>
    <w:rsid w:val="008E68C8"/>
    <w:rsid w:val="008E7986"/>
    <w:rsid w:val="008F626A"/>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10A7"/>
    <w:rsid w:val="00985C89"/>
    <w:rsid w:val="00986DFB"/>
    <w:rsid w:val="00992247"/>
    <w:rsid w:val="009929FF"/>
    <w:rsid w:val="009973EA"/>
    <w:rsid w:val="009A4C94"/>
    <w:rsid w:val="009A4F1E"/>
    <w:rsid w:val="009B373D"/>
    <w:rsid w:val="009B7BAB"/>
    <w:rsid w:val="009D5C3A"/>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46291"/>
    <w:rsid w:val="00A536F4"/>
    <w:rsid w:val="00A53724"/>
    <w:rsid w:val="00A612AD"/>
    <w:rsid w:val="00A625A6"/>
    <w:rsid w:val="00A636BC"/>
    <w:rsid w:val="00A67816"/>
    <w:rsid w:val="00A7175A"/>
    <w:rsid w:val="00A73129"/>
    <w:rsid w:val="00A75621"/>
    <w:rsid w:val="00A81A70"/>
    <w:rsid w:val="00A82055"/>
    <w:rsid w:val="00A82346"/>
    <w:rsid w:val="00A83518"/>
    <w:rsid w:val="00A92BA1"/>
    <w:rsid w:val="00A942D0"/>
    <w:rsid w:val="00AB5A96"/>
    <w:rsid w:val="00AB717E"/>
    <w:rsid w:val="00AC0150"/>
    <w:rsid w:val="00AC136C"/>
    <w:rsid w:val="00AC1EBB"/>
    <w:rsid w:val="00AC6BC6"/>
    <w:rsid w:val="00AC6D4C"/>
    <w:rsid w:val="00AD171B"/>
    <w:rsid w:val="00AD5F64"/>
    <w:rsid w:val="00AE3797"/>
    <w:rsid w:val="00AF0641"/>
    <w:rsid w:val="00AF7AB0"/>
    <w:rsid w:val="00B05A8C"/>
    <w:rsid w:val="00B150E6"/>
    <w:rsid w:val="00B152B8"/>
    <w:rsid w:val="00B15449"/>
    <w:rsid w:val="00B17445"/>
    <w:rsid w:val="00B21FFC"/>
    <w:rsid w:val="00B231E1"/>
    <w:rsid w:val="00B2629A"/>
    <w:rsid w:val="00B31A84"/>
    <w:rsid w:val="00B35505"/>
    <w:rsid w:val="00B42A9D"/>
    <w:rsid w:val="00B51CDC"/>
    <w:rsid w:val="00B574A0"/>
    <w:rsid w:val="00B65A8F"/>
    <w:rsid w:val="00B76FBB"/>
    <w:rsid w:val="00B863E2"/>
    <w:rsid w:val="00B90C16"/>
    <w:rsid w:val="00B93086"/>
    <w:rsid w:val="00BA19ED"/>
    <w:rsid w:val="00BA300B"/>
    <w:rsid w:val="00BA4B8D"/>
    <w:rsid w:val="00BB74CA"/>
    <w:rsid w:val="00BC0F7D"/>
    <w:rsid w:val="00BC44CD"/>
    <w:rsid w:val="00BC75E0"/>
    <w:rsid w:val="00BD7667"/>
    <w:rsid w:val="00BE3255"/>
    <w:rsid w:val="00BF128E"/>
    <w:rsid w:val="00BF4C3B"/>
    <w:rsid w:val="00BF6A1B"/>
    <w:rsid w:val="00C13471"/>
    <w:rsid w:val="00C1496A"/>
    <w:rsid w:val="00C33079"/>
    <w:rsid w:val="00C358C6"/>
    <w:rsid w:val="00C45231"/>
    <w:rsid w:val="00C46ABA"/>
    <w:rsid w:val="00C54839"/>
    <w:rsid w:val="00C54C23"/>
    <w:rsid w:val="00C575E9"/>
    <w:rsid w:val="00C71DA1"/>
    <w:rsid w:val="00C72833"/>
    <w:rsid w:val="00C80F1D"/>
    <w:rsid w:val="00C87227"/>
    <w:rsid w:val="00C93F40"/>
    <w:rsid w:val="00CA3D0C"/>
    <w:rsid w:val="00CC4BDD"/>
    <w:rsid w:val="00CC6588"/>
    <w:rsid w:val="00CD3A7B"/>
    <w:rsid w:val="00CE2F48"/>
    <w:rsid w:val="00CE6DD7"/>
    <w:rsid w:val="00CF20E3"/>
    <w:rsid w:val="00CF4D0D"/>
    <w:rsid w:val="00CF65B5"/>
    <w:rsid w:val="00D03C06"/>
    <w:rsid w:val="00D0491B"/>
    <w:rsid w:val="00D309CC"/>
    <w:rsid w:val="00D463D6"/>
    <w:rsid w:val="00D46431"/>
    <w:rsid w:val="00D56A52"/>
    <w:rsid w:val="00D57972"/>
    <w:rsid w:val="00D675A9"/>
    <w:rsid w:val="00D71268"/>
    <w:rsid w:val="00D738D6"/>
    <w:rsid w:val="00D755EB"/>
    <w:rsid w:val="00D8507E"/>
    <w:rsid w:val="00D87E00"/>
    <w:rsid w:val="00D9134D"/>
    <w:rsid w:val="00D9153E"/>
    <w:rsid w:val="00DA413D"/>
    <w:rsid w:val="00DA7A03"/>
    <w:rsid w:val="00DB0C45"/>
    <w:rsid w:val="00DB1818"/>
    <w:rsid w:val="00DB4052"/>
    <w:rsid w:val="00DB76B5"/>
    <w:rsid w:val="00DB79F7"/>
    <w:rsid w:val="00DC309B"/>
    <w:rsid w:val="00DC4DA2"/>
    <w:rsid w:val="00DD4C17"/>
    <w:rsid w:val="00DD52B7"/>
    <w:rsid w:val="00DF0098"/>
    <w:rsid w:val="00DF2B1F"/>
    <w:rsid w:val="00DF464B"/>
    <w:rsid w:val="00DF51B9"/>
    <w:rsid w:val="00DF6189"/>
    <w:rsid w:val="00DF62CD"/>
    <w:rsid w:val="00E12A5F"/>
    <w:rsid w:val="00E16509"/>
    <w:rsid w:val="00E238DF"/>
    <w:rsid w:val="00E2413E"/>
    <w:rsid w:val="00E44582"/>
    <w:rsid w:val="00E52814"/>
    <w:rsid w:val="00E61FCF"/>
    <w:rsid w:val="00E64596"/>
    <w:rsid w:val="00E72324"/>
    <w:rsid w:val="00E72ABE"/>
    <w:rsid w:val="00E74333"/>
    <w:rsid w:val="00E77645"/>
    <w:rsid w:val="00E8245D"/>
    <w:rsid w:val="00E91B77"/>
    <w:rsid w:val="00E96D1A"/>
    <w:rsid w:val="00E97F04"/>
    <w:rsid w:val="00EA5123"/>
    <w:rsid w:val="00EC1705"/>
    <w:rsid w:val="00EC4847"/>
    <w:rsid w:val="00EC4A25"/>
    <w:rsid w:val="00EC4A97"/>
    <w:rsid w:val="00EC5547"/>
    <w:rsid w:val="00EC55DC"/>
    <w:rsid w:val="00EC61E5"/>
    <w:rsid w:val="00ED21B2"/>
    <w:rsid w:val="00EE0853"/>
    <w:rsid w:val="00EE5AA7"/>
    <w:rsid w:val="00EF70F3"/>
    <w:rsid w:val="00F025A2"/>
    <w:rsid w:val="00F04712"/>
    <w:rsid w:val="00F06F13"/>
    <w:rsid w:val="00F10C13"/>
    <w:rsid w:val="00F164A5"/>
    <w:rsid w:val="00F21311"/>
    <w:rsid w:val="00F22EC7"/>
    <w:rsid w:val="00F325C8"/>
    <w:rsid w:val="00F44E02"/>
    <w:rsid w:val="00F62AEB"/>
    <w:rsid w:val="00F653B8"/>
    <w:rsid w:val="00F70647"/>
    <w:rsid w:val="00F73796"/>
    <w:rsid w:val="00F7495C"/>
    <w:rsid w:val="00F87D29"/>
    <w:rsid w:val="00F93272"/>
    <w:rsid w:val="00FA0FE9"/>
    <w:rsid w:val="00FA1266"/>
    <w:rsid w:val="00FB6F29"/>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03092284">
      <w:bodyDiv w:val="1"/>
      <w:marLeft w:val="0"/>
      <w:marRight w:val="0"/>
      <w:marTop w:val="0"/>
      <w:marBottom w:val="0"/>
      <w:divBdr>
        <w:top w:val="none" w:sz="0" w:space="0" w:color="auto"/>
        <w:left w:val="none" w:sz="0" w:space="0" w:color="auto"/>
        <w:bottom w:val="none" w:sz="0" w:space="0" w:color="auto"/>
        <w:right w:val="none" w:sz="0" w:space="0" w:color="auto"/>
      </w:divBdr>
      <w:divsChild>
        <w:div w:id="1323585163">
          <w:marLeft w:val="360"/>
          <w:marRight w:val="0"/>
          <w:marTop w:val="200"/>
          <w:marBottom w:val="0"/>
          <w:divBdr>
            <w:top w:val="none" w:sz="0" w:space="0" w:color="auto"/>
            <w:left w:val="none" w:sz="0" w:space="0" w:color="auto"/>
            <w:bottom w:val="none" w:sz="0" w:space="0" w:color="auto"/>
            <w:right w:val="none" w:sz="0" w:space="0" w:color="auto"/>
          </w:divBdr>
        </w:div>
        <w:div w:id="580411623">
          <w:marLeft w:val="360"/>
          <w:marRight w:val="0"/>
          <w:marTop w:val="200"/>
          <w:marBottom w:val="0"/>
          <w:divBdr>
            <w:top w:val="none" w:sz="0" w:space="0" w:color="auto"/>
            <w:left w:val="none" w:sz="0" w:space="0" w:color="auto"/>
            <w:bottom w:val="none" w:sz="0" w:space="0" w:color="auto"/>
            <w:right w:val="none" w:sz="0" w:space="0" w:color="auto"/>
          </w:divBdr>
        </w:div>
      </w:divsChild>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4</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2021-05-11T18:14:00Z</dcterms:created>
  <dcterms:modified xsi:type="dcterms:W3CDTF">2021-05-11T18:58:00Z</dcterms:modified>
  <cp:category/>
</cp:coreProperties>
</file>